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B23C16" w:rsidRDefault="0070520C" w:rsidP="00B23C16">
      <w:pPr>
        <w:pStyle w:val="Heading1"/>
        <w:spacing w:before="0" w:after="120" w:line="276" w:lineRule="auto"/>
        <w:rPr>
          <w:rFonts w:ascii="Verdana" w:hAnsi="Verdana"/>
          <w:b w:val="0"/>
          <w:color w:val="183850" w:themeColor="text1"/>
          <w:sz w:val="34"/>
          <w:szCs w:val="34"/>
        </w:rPr>
      </w:pPr>
      <w:bookmarkStart w:id="0" w:name="_GoBack"/>
      <w:bookmarkEnd w:id="0"/>
      <w:r w:rsidRPr="00B23C16">
        <w:rPr>
          <w:rFonts w:ascii="Verdana" w:hAnsi="Verdana"/>
          <w:b w:val="0"/>
          <w:color w:val="183850" w:themeColor="text1"/>
          <w:sz w:val="34"/>
          <w:szCs w:val="34"/>
        </w:rPr>
        <w:t>LOCAL PEN</w:t>
      </w:r>
      <w:r w:rsidRPr="00B23C16">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817C88" w:rsidTr="00506F9B">
        <w:tc>
          <w:tcPr>
            <w:tcW w:w="5353" w:type="dxa"/>
          </w:tcPr>
          <w:p w:rsidR="00197BA3" w:rsidRPr="004D44CF" w:rsidRDefault="0070520C" w:rsidP="00506F9B">
            <w:pPr>
              <w:rPr>
                <w:rFonts w:ascii="Verdana" w:hAnsi="Verdana"/>
                <w:b/>
                <w:bCs/>
                <w:iCs/>
                <w:sz w:val="24"/>
                <w:szCs w:val="24"/>
              </w:rPr>
            </w:pPr>
            <w:r w:rsidRPr="004D44CF">
              <w:rPr>
                <w:rFonts w:ascii="Verdana" w:hAnsi="Verdana"/>
                <w:b/>
                <w:bCs/>
                <w:iCs/>
                <w:sz w:val="24"/>
                <w:szCs w:val="24"/>
              </w:rPr>
              <w:t>Lancashire County Pension Fund</w:t>
            </w:r>
          </w:p>
        </w:tc>
        <w:tc>
          <w:tcPr>
            <w:tcW w:w="4428" w:type="dxa"/>
          </w:tcPr>
          <w:p w:rsidR="00197BA3" w:rsidRPr="004D44CF" w:rsidRDefault="0070520C" w:rsidP="004D44CF">
            <w:pPr>
              <w:jc w:val="right"/>
              <w:rPr>
                <w:rFonts w:ascii="Verdana" w:hAnsi="Verdana"/>
                <w:b/>
                <w:bCs/>
                <w:iCs/>
                <w:sz w:val="24"/>
                <w:szCs w:val="24"/>
              </w:rPr>
            </w:pPr>
            <w:r w:rsidRPr="004D44CF">
              <w:rPr>
                <w:rFonts w:ascii="Verdana" w:hAnsi="Verdana"/>
                <w:b/>
                <w:bCs/>
                <w:iCs/>
                <w:sz w:val="24"/>
                <w:szCs w:val="24"/>
              </w:rPr>
              <w:t>Appendix A</w:t>
            </w:r>
          </w:p>
        </w:tc>
      </w:tr>
      <w:tr w:rsidR="00817C88" w:rsidTr="00506F9B">
        <w:tc>
          <w:tcPr>
            <w:tcW w:w="9781" w:type="dxa"/>
            <w:gridSpan w:val="2"/>
          </w:tcPr>
          <w:p w:rsidR="00197BA3" w:rsidRPr="004D44CF" w:rsidRDefault="0070520C" w:rsidP="00506F9B">
            <w:pPr>
              <w:rPr>
                <w:rFonts w:ascii="Verdana" w:hAnsi="Verdana"/>
                <w:b/>
                <w:bCs/>
                <w:iCs/>
                <w:sz w:val="24"/>
                <w:szCs w:val="24"/>
              </w:rPr>
            </w:pPr>
          </w:p>
        </w:tc>
      </w:tr>
      <w:tr w:rsidR="00817C88" w:rsidTr="00506F9B">
        <w:tc>
          <w:tcPr>
            <w:tcW w:w="5353" w:type="dxa"/>
          </w:tcPr>
          <w:p w:rsidR="00197BA3" w:rsidRPr="004D44CF" w:rsidRDefault="0070520C" w:rsidP="00506F9B">
            <w:pPr>
              <w:rPr>
                <w:rFonts w:ascii="Verdana" w:hAnsi="Verdana"/>
                <w:b/>
                <w:bCs/>
                <w:iCs/>
                <w:sz w:val="24"/>
                <w:szCs w:val="24"/>
              </w:rPr>
            </w:pPr>
            <w:r w:rsidRPr="004D44CF">
              <w:rPr>
                <w:rFonts w:ascii="Verdana" w:hAnsi="Verdana"/>
                <w:b/>
                <w:bCs/>
                <w:iCs/>
                <w:sz w:val="24"/>
                <w:szCs w:val="24"/>
              </w:rPr>
              <w:t>Pension Fund Committee</w:t>
            </w:r>
          </w:p>
        </w:tc>
        <w:tc>
          <w:tcPr>
            <w:tcW w:w="4428" w:type="dxa"/>
          </w:tcPr>
          <w:p w:rsidR="00197BA3" w:rsidRPr="004D44CF" w:rsidRDefault="0070520C" w:rsidP="00506F9B">
            <w:pPr>
              <w:jc w:val="right"/>
              <w:rPr>
                <w:rFonts w:ascii="Verdana" w:hAnsi="Verdana"/>
                <w:b/>
                <w:bCs/>
                <w:iCs/>
                <w:sz w:val="24"/>
                <w:szCs w:val="24"/>
              </w:rPr>
            </w:pPr>
            <w:r w:rsidRPr="004D44CF">
              <w:rPr>
                <w:rFonts w:ascii="Verdana" w:hAnsi="Verdana"/>
                <w:b/>
                <w:bCs/>
                <w:iCs/>
                <w:sz w:val="24"/>
                <w:szCs w:val="24"/>
              </w:rPr>
              <w:t>2 December 2016</w:t>
            </w:r>
          </w:p>
        </w:tc>
      </w:tr>
      <w:tr w:rsidR="00817C88" w:rsidTr="00506F9B">
        <w:tc>
          <w:tcPr>
            <w:tcW w:w="5353" w:type="dxa"/>
          </w:tcPr>
          <w:p w:rsidR="00197BA3" w:rsidRPr="004D44CF" w:rsidRDefault="0070520C" w:rsidP="00506F9B">
            <w:pPr>
              <w:rPr>
                <w:rFonts w:ascii="Verdana" w:hAnsi="Verdana"/>
                <w:b/>
                <w:bCs/>
                <w:iCs/>
                <w:sz w:val="24"/>
                <w:szCs w:val="24"/>
              </w:rPr>
            </w:pPr>
            <w:r w:rsidRPr="004D44CF">
              <w:rPr>
                <w:rFonts w:ascii="Verdana" w:hAnsi="Verdana"/>
                <w:b/>
                <w:bCs/>
                <w:iCs/>
                <w:sz w:val="24"/>
                <w:szCs w:val="24"/>
              </w:rPr>
              <w:t>Responsible Investment Report</w:t>
            </w:r>
          </w:p>
        </w:tc>
        <w:tc>
          <w:tcPr>
            <w:tcW w:w="4428" w:type="dxa"/>
          </w:tcPr>
          <w:p w:rsidR="00197BA3" w:rsidRPr="004D44CF" w:rsidRDefault="0070520C" w:rsidP="00506F9B">
            <w:pPr>
              <w:jc w:val="right"/>
              <w:rPr>
                <w:rFonts w:ascii="Verdana" w:hAnsi="Verdana"/>
                <w:b/>
                <w:bCs/>
                <w:iCs/>
                <w:sz w:val="24"/>
                <w:szCs w:val="24"/>
              </w:rPr>
            </w:pPr>
          </w:p>
        </w:tc>
      </w:tr>
    </w:tbl>
    <w:p w:rsidR="00197BA3" w:rsidRPr="007D1376" w:rsidRDefault="0070520C" w:rsidP="00197BA3">
      <w:pPr>
        <w:rPr>
          <w:rFonts w:ascii="Verdana" w:hAnsi="Verdana"/>
          <w:bCs/>
          <w:iCs/>
        </w:rPr>
      </w:pPr>
      <w:r w:rsidRPr="007D1376">
        <w:rPr>
          <w:rFonts w:ascii="Verdana" w:hAnsi="Verdana"/>
          <w:bCs/>
          <w:iCs/>
        </w:rPr>
        <w:tab/>
      </w:r>
      <w:r w:rsidRPr="007D1376">
        <w:rPr>
          <w:rFonts w:ascii="Verdana" w:hAnsi="Verdana"/>
          <w:bCs/>
          <w:iCs/>
        </w:rPr>
        <w:tab/>
      </w:r>
      <w:r w:rsidRPr="007D1376">
        <w:rPr>
          <w:rFonts w:ascii="Verdana" w:hAnsi="Verdana"/>
          <w:bCs/>
          <w:iCs/>
        </w:rPr>
        <w:tab/>
        <w:t xml:space="preserve"> </w:t>
      </w:r>
      <w:r w:rsidRPr="007D1376">
        <w:rPr>
          <w:rFonts w:ascii="Verdana" w:hAnsi="Verdana"/>
          <w:bCs/>
          <w:iCs/>
        </w:rPr>
        <w:tab/>
      </w:r>
      <w:r w:rsidRPr="007D1376">
        <w:rPr>
          <w:rFonts w:ascii="Verdana" w:hAnsi="Verdana"/>
          <w:bCs/>
          <w:iCs/>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817C88" w:rsidTr="00506F9B">
        <w:trPr>
          <w:trHeight w:val="461"/>
        </w:trPr>
        <w:tc>
          <w:tcPr>
            <w:tcW w:w="2523" w:type="dxa"/>
            <w:shd w:val="clear" w:color="auto" w:fill="F2F2F2" w:themeFill="background1" w:themeFillShade="F2"/>
          </w:tcPr>
          <w:p w:rsidR="00197BA3" w:rsidRPr="007A0579" w:rsidRDefault="0070520C" w:rsidP="00506F9B">
            <w:pPr>
              <w:rPr>
                <w:rFonts w:ascii="Verdana" w:hAnsi="Verdana"/>
                <w:b/>
                <w:bCs/>
                <w:iCs/>
                <w:sz w:val="20"/>
                <w:szCs w:val="20"/>
              </w:rPr>
            </w:pPr>
            <w:r w:rsidRPr="007A0579">
              <w:rPr>
                <w:rFonts w:ascii="Verdana" w:hAnsi="Verdana"/>
                <w:b/>
                <w:bCs/>
                <w:iCs/>
                <w:sz w:val="20"/>
                <w:szCs w:val="20"/>
              </w:rPr>
              <w:t>Title</w:t>
            </w:r>
            <w:r>
              <w:rPr>
                <w:rFonts w:ascii="Verdana" w:hAnsi="Verdana"/>
                <w:b/>
                <w:bCs/>
                <w:iCs/>
                <w:sz w:val="20"/>
                <w:szCs w:val="20"/>
              </w:rPr>
              <w:t xml:space="preserve"> of P</w:t>
            </w:r>
            <w:r w:rsidRPr="007A0579">
              <w:rPr>
                <w:rFonts w:ascii="Verdana" w:hAnsi="Verdana"/>
                <w:b/>
                <w:bCs/>
                <w:iCs/>
                <w:sz w:val="20"/>
                <w:szCs w:val="20"/>
              </w:rPr>
              <w:t>aper</w:t>
            </w:r>
          </w:p>
        </w:tc>
        <w:tc>
          <w:tcPr>
            <w:tcW w:w="7229" w:type="dxa"/>
          </w:tcPr>
          <w:p w:rsidR="00197BA3" w:rsidRPr="007A0579" w:rsidRDefault="0070520C" w:rsidP="00506F9B">
            <w:pPr>
              <w:rPr>
                <w:rFonts w:ascii="Verdana" w:hAnsi="Verdana"/>
                <w:bCs/>
                <w:iCs/>
                <w:sz w:val="20"/>
                <w:szCs w:val="20"/>
              </w:rPr>
            </w:pPr>
            <w:r w:rsidRPr="007A0579">
              <w:rPr>
                <w:rFonts w:ascii="Verdana" w:hAnsi="Verdana"/>
                <w:bCs/>
                <w:iCs/>
                <w:sz w:val="20"/>
                <w:szCs w:val="20"/>
              </w:rPr>
              <w:t>Quarterly Report on Responsible Investment</w:t>
            </w:r>
          </w:p>
        </w:tc>
      </w:tr>
      <w:tr w:rsidR="00817C88" w:rsidTr="00506F9B">
        <w:trPr>
          <w:trHeight w:val="632"/>
        </w:trPr>
        <w:tc>
          <w:tcPr>
            <w:tcW w:w="2523" w:type="dxa"/>
            <w:shd w:val="clear" w:color="auto" w:fill="F2F2F2" w:themeFill="background1" w:themeFillShade="F2"/>
          </w:tcPr>
          <w:p w:rsidR="00197BA3" w:rsidRPr="007A0579" w:rsidRDefault="0070520C" w:rsidP="00506F9B">
            <w:pPr>
              <w:rPr>
                <w:rFonts w:ascii="Verdana" w:hAnsi="Verdana"/>
                <w:b/>
                <w:bCs/>
                <w:iCs/>
                <w:sz w:val="20"/>
                <w:szCs w:val="20"/>
              </w:rPr>
            </w:pPr>
            <w:r w:rsidRPr="007A0579">
              <w:rPr>
                <w:rFonts w:ascii="Verdana" w:hAnsi="Verdana"/>
                <w:b/>
                <w:bCs/>
                <w:iCs/>
                <w:sz w:val="20"/>
                <w:szCs w:val="20"/>
              </w:rPr>
              <w:t>Lead Officer:</w:t>
            </w:r>
          </w:p>
        </w:tc>
        <w:tc>
          <w:tcPr>
            <w:tcW w:w="7229" w:type="dxa"/>
          </w:tcPr>
          <w:p w:rsidR="00197BA3" w:rsidRPr="007A0579" w:rsidRDefault="0070520C" w:rsidP="00506F9B">
            <w:pPr>
              <w:rPr>
                <w:rFonts w:ascii="Verdana" w:hAnsi="Verdana"/>
                <w:bCs/>
                <w:iCs/>
                <w:sz w:val="20"/>
                <w:szCs w:val="20"/>
              </w:rPr>
            </w:pPr>
            <w:r w:rsidRPr="007A0579">
              <w:rPr>
                <w:rFonts w:ascii="Verdana" w:hAnsi="Verdana"/>
                <w:bCs/>
                <w:iCs/>
                <w:sz w:val="20"/>
                <w:szCs w:val="20"/>
              </w:rPr>
              <w:t xml:space="preserve">Frances Deakin </w:t>
            </w:r>
          </w:p>
          <w:p w:rsidR="00197BA3" w:rsidRPr="007A0579" w:rsidRDefault="0070520C" w:rsidP="00506F9B">
            <w:pPr>
              <w:rPr>
                <w:rFonts w:ascii="Verdana" w:hAnsi="Verdana"/>
                <w:bCs/>
                <w:iCs/>
                <w:sz w:val="20"/>
                <w:szCs w:val="20"/>
              </w:rPr>
            </w:pPr>
            <w:r w:rsidRPr="007A0579">
              <w:rPr>
                <w:rFonts w:ascii="Verdana" w:hAnsi="Verdana"/>
                <w:bCs/>
                <w:iCs/>
                <w:sz w:val="20"/>
                <w:szCs w:val="20"/>
              </w:rPr>
              <w:t>Responsible Investment Officer</w:t>
            </w:r>
          </w:p>
          <w:p w:rsidR="00197BA3" w:rsidRDefault="0070520C" w:rsidP="00506F9B">
            <w:pPr>
              <w:rPr>
                <w:rFonts w:ascii="Verdana" w:hAnsi="Verdana"/>
                <w:bCs/>
                <w:iCs/>
                <w:sz w:val="20"/>
                <w:szCs w:val="20"/>
              </w:rPr>
            </w:pPr>
            <w:r w:rsidRPr="007A0579">
              <w:rPr>
                <w:rFonts w:ascii="Verdana" w:hAnsi="Verdana"/>
                <w:bCs/>
                <w:iCs/>
                <w:sz w:val="20"/>
                <w:szCs w:val="20"/>
              </w:rPr>
              <w:t xml:space="preserve">Local Pensions Partnership Investments Ltd </w:t>
            </w:r>
          </w:p>
          <w:p w:rsidR="00197BA3" w:rsidRPr="007A0579" w:rsidRDefault="0070520C" w:rsidP="00506F9B">
            <w:pPr>
              <w:rPr>
                <w:rFonts w:ascii="Verdana" w:hAnsi="Verdana"/>
                <w:bCs/>
                <w:iCs/>
                <w:sz w:val="20"/>
                <w:szCs w:val="20"/>
              </w:rPr>
            </w:pPr>
          </w:p>
        </w:tc>
      </w:tr>
      <w:tr w:rsidR="00817C88" w:rsidTr="00506F9B">
        <w:trPr>
          <w:trHeight w:val="456"/>
        </w:trPr>
        <w:tc>
          <w:tcPr>
            <w:tcW w:w="2523" w:type="dxa"/>
            <w:shd w:val="clear" w:color="auto" w:fill="F2F2F2" w:themeFill="background1" w:themeFillShade="F2"/>
          </w:tcPr>
          <w:p w:rsidR="00197BA3" w:rsidRPr="007A0579" w:rsidRDefault="0070520C" w:rsidP="00506F9B">
            <w:pPr>
              <w:rPr>
                <w:rFonts w:ascii="Verdana" w:hAnsi="Verdana"/>
                <w:b/>
                <w:bCs/>
                <w:iCs/>
                <w:sz w:val="20"/>
                <w:szCs w:val="20"/>
              </w:rPr>
            </w:pPr>
            <w:r w:rsidRPr="007A0579">
              <w:rPr>
                <w:rFonts w:ascii="Verdana" w:hAnsi="Verdana"/>
                <w:b/>
                <w:bCs/>
                <w:iCs/>
                <w:sz w:val="20"/>
                <w:szCs w:val="20"/>
              </w:rPr>
              <w:t>A</w:t>
            </w:r>
            <w:r>
              <w:rPr>
                <w:rFonts w:ascii="Verdana" w:hAnsi="Verdana"/>
                <w:b/>
                <w:bCs/>
                <w:iCs/>
                <w:sz w:val="20"/>
                <w:szCs w:val="20"/>
              </w:rPr>
              <w:t>ppendices</w:t>
            </w:r>
            <w:r w:rsidRPr="007A0579">
              <w:rPr>
                <w:rFonts w:ascii="Verdana" w:hAnsi="Verdana"/>
                <w:b/>
                <w:bCs/>
                <w:iCs/>
                <w:sz w:val="20"/>
                <w:szCs w:val="20"/>
              </w:rPr>
              <w:t xml:space="preserve"> </w:t>
            </w:r>
          </w:p>
        </w:tc>
        <w:tc>
          <w:tcPr>
            <w:tcW w:w="7229" w:type="dxa"/>
          </w:tcPr>
          <w:p w:rsidR="000819F9" w:rsidRDefault="0070520C" w:rsidP="00506F9B">
            <w:pPr>
              <w:rPr>
                <w:rFonts w:ascii="Verdana" w:hAnsi="Verdana"/>
                <w:b/>
                <w:bCs/>
                <w:iCs/>
                <w:sz w:val="20"/>
                <w:szCs w:val="20"/>
              </w:rPr>
            </w:pPr>
            <w:r>
              <w:rPr>
                <w:rFonts w:ascii="Verdana" w:hAnsi="Verdana"/>
                <w:b/>
                <w:bCs/>
                <w:iCs/>
                <w:sz w:val="20"/>
                <w:szCs w:val="20"/>
              </w:rPr>
              <w:t>Appendix 1: LAPFF Quarter 3 Engagement Report</w:t>
            </w:r>
          </w:p>
          <w:p w:rsidR="00197BA3" w:rsidRDefault="0070520C" w:rsidP="00506F9B">
            <w:pPr>
              <w:rPr>
                <w:rFonts w:ascii="Verdana" w:hAnsi="Verdana"/>
                <w:b/>
                <w:bCs/>
                <w:iCs/>
                <w:sz w:val="20"/>
                <w:szCs w:val="20"/>
              </w:rPr>
            </w:pPr>
            <w:r>
              <w:rPr>
                <w:rFonts w:ascii="Verdana" w:hAnsi="Verdana"/>
                <w:b/>
                <w:bCs/>
                <w:iCs/>
                <w:sz w:val="20"/>
                <w:szCs w:val="20"/>
              </w:rPr>
              <w:t xml:space="preserve">Appendix 2: </w:t>
            </w:r>
            <w:r>
              <w:rPr>
                <w:rFonts w:ascii="Verdana" w:hAnsi="Verdana"/>
                <w:b/>
                <w:bCs/>
                <w:iCs/>
                <w:sz w:val="20"/>
                <w:szCs w:val="20"/>
              </w:rPr>
              <w:t xml:space="preserve">Extract from Guidance on Preparing an ISS </w:t>
            </w:r>
          </w:p>
          <w:p w:rsidR="00197BA3" w:rsidRDefault="0070520C" w:rsidP="001B6BBC">
            <w:pPr>
              <w:ind w:left="-79" w:firstLine="79"/>
              <w:rPr>
                <w:rFonts w:ascii="Verdana" w:hAnsi="Verdana"/>
                <w:b/>
                <w:bCs/>
                <w:iCs/>
                <w:sz w:val="20"/>
                <w:szCs w:val="20"/>
              </w:rPr>
            </w:pPr>
            <w:r>
              <w:rPr>
                <w:rFonts w:ascii="Verdana" w:hAnsi="Verdana"/>
                <w:b/>
                <w:bCs/>
                <w:iCs/>
                <w:sz w:val="20"/>
                <w:szCs w:val="20"/>
              </w:rPr>
              <w:t xml:space="preserve">Appendix 3: </w:t>
            </w:r>
            <w:r>
              <w:rPr>
                <w:rFonts w:ascii="Verdana" w:hAnsi="Verdana"/>
                <w:b/>
                <w:bCs/>
                <w:iCs/>
                <w:sz w:val="20"/>
                <w:szCs w:val="20"/>
              </w:rPr>
              <w:t>LPP I Responsible Investment Policy</w:t>
            </w:r>
          </w:p>
          <w:p w:rsidR="00A8013C" w:rsidRPr="00C6350D" w:rsidRDefault="0070520C" w:rsidP="003E2CF1">
            <w:pPr>
              <w:ind w:left="-79" w:firstLine="79"/>
              <w:rPr>
                <w:rFonts w:ascii="Verdana" w:hAnsi="Verdana"/>
                <w:b/>
                <w:bCs/>
                <w:iCs/>
                <w:sz w:val="20"/>
                <w:szCs w:val="20"/>
              </w:rPr>
            </w:pPr>
          </w:p>
        </w:tc>
      </w:tr>
    </w:tbl>
    <w:p w:rsidR="00B23C16" w:rsidRPr="00B23C16" w:rsidRDefault="0070520C" w:rsidP="00320885">
      <w:pPr>
        <w:spacing w:after="0" w:line="240" w:lineRule="auto"/>
        <w:rPr>
          <w:rFonts w:ascii="Verdana" w:hAnsi="Verdana" w:cs="Arial"/>
          <w:b/>
          <w:bCs/>
          <w:sz w:val="20"/>
          <w:szCs w:val="20"/>
        </w:rPr>
      </w:pPr>
    </w:p>
    <w:p w:rsidR="00E04E31" w:rsidRPr="00F23661" w:rsidRDefault="0070520C" w:rsidP="00220A9C">
      <w:pPr>
        <w:pStyle w:val="treb"/>
        <w:numPr>
          <w:ilvl w:val="0"/>
          <w:numId w:val="5"/>
        </w:numPr>
        <w:spacing w:after="0"/>
        <w:ind w:hanging="720"/>
        <w:rPr>
          <w:rFonts w:ascii="Verdana" w:hAnsi="Verdana"/>
          <w:color w:val="54BBAB" w:themeColor="text2"/>
          <w:sz w:val="20"/>
          <w:szCs w:val="20"/>
        </w:rPr>
      </w:pPr>
      <w:r w:rsidRPr="00F23661">
        <w:rPr>
          <w:rFonts w:ascii="Verdana" w:hAnsi="Verdana"/>
          <w:color w:val="54BBAB" w:themeColor="text2"/>
          <w:sz w:val="20"/>
          <w:szCs w:val="20"/>
        </w:rPr>
        <w:t>Executive Summary</w:t>
      </w:r>
    </w:p>
    <w:p w:rsidR="00197BA3" w:rsidRPr="00F23661" w:rsidRDefault="0070520C" w:rsidP="00197BA3">
      <w:pPr>
        <w:pStyle w:val="treb"/>
        <w:numPr>
          <w:ilvl w:val="0"/>
          <w:numId w:val="0"/>
        </w:numPr>
        <w:spacing w:after="0"/>
        <w:rPr>
          <w:rFonts w:ascii="Verdana" w:hAnsi="Verdana"/>
          <w:b w:val="0"/>
          <w:sz w:val="20"/>
          <w:szCs w:val="20"/>
        </w:rPr>
      </w:pPr>
    </w:p>
    <w:p w:rsidR="00197BA3" w:rsidRPr="00F23661" w:rsidRDefault="0070520C" w:rsidP="00197BA3">
      <w:pPr>
        <w:pStyle w:val="treb"/>
        <w:numPr>
          <w:ilvl w:val="0"/>
          <w:numId w:val="0"/>
        </w:numPr>
        <w:spacing w:after="0"/>
        <w:rPr>
          <w:rFonts w:ascii="Verdana" w:hAnsi="Verdana"/>
          <w:b w:val="0"/>
          <w:sz w:val="20"/>
          <w:szCs w:val="20"/>
        </w:rPr>
      </w:pPr>
      <w:r w:rsidRPr="00F23661">
        <w:rPr>
          <w:rFonts w:ascii="Verdana" w:hAnsi="Verdana"/>
          <w:b w:val="0"/>
          <w:sz w:val="20"/>
          <w:szCs w:val="20"/>
        </w:rPr>
        <w:t>This report provides members of the Pension Fund Committee of Lancashire County Pension Fund (LCPF) with a quarterly update on Responsible Investment (RI) matters.</w:t>
      </w:r>
    </w:p>
    <w:p w:rsidR="00197BA3" w:rsidRPr="00F23661" w:rsidRDefault="0070520C" w:rsidP="00197BA3">
      <w:pPr>
        <w:pStyle w:val="treb"/>
        <w:numPr>
          <w:ilvl w:val="0"/>
          <w:numId w:val="0"/>
        </w:numPr>
        <w:spacing w:after="0"/>
        <w:rPr>
          <w:rFonts w:ascii="Verdana" w:hAnsi="Verdana"/>
          <w:b w:val="0"/>
          <w:color w:val="54BBAB" w:themeColor="text2"/>
          <w:sz w:val="20"/>
          <w:szCs w:val="20"/>
        </w:rPr>
      </w:pPr>
    </w:p>
    <w:p w:rsidR="00320885" w:rsidRPr="00F23661" w:rsidRDefault="0070520C" w:rsidP="00220A9C">
      <w:pPr>
        <w:pStyle w:val="treb"/>
        <w:numPr>
          <w:ilvl w:val="0"/>
          <w:numId w:val="5"/>
        </w:numPr>
        <w:spacing w:after="0"/>
        <w:ind w:hanging="720"/>
        <w:rPr>
          <w:rFonts w:ascii="Verdana" w:hAnsi="Verdana"/>
          <w:color w:val="54BBAB" w:themeColor="text2"/>
          <w:sz w:val="20"/>
          <w:szCs w:val="20"/>
        </w:rPr>
      </w:pPr>
      <w:r w:rsidRPr="00F23661">
        <w:rPr>
          <w:rFonts w:ascii="Verdana" w:hAnsi="Verdana"/>
          <w:color w:val="54BBAB" w:themeColor="text2"/>
          <w:sz w:val="20"/>
          <w:szCs w:val="20"/>
        </w:rPr>
        <w:t>Introduction</w:t>
      </w:r>
    </w:p>
    <w:p w:rsidR="00197BA3" w:rsidRPr="00F23661" w:rsidRDefault="0070520C" w:rsidP="00197BA3">
      <w:pPr>
        <w:autoSpaceDE w:val="0"/>
        <w:autoSpaceDN w:val="0"/>
        <w:adjustRightInd w:val="0"/>
        <w:spacing w:after="0"/>
        <w:jc w:val="both"/>
        <w:rPr>
          <w:rFonts w:ascii="Verdana" w:hAnsi="Verdana"/>
          <w:sz w:val="20"/>
          <w:szCs w:val="20"/>
        </w:rPr>
      </w:pPr>
    </w:p>
    <w:p w:rsidR="00197BA3" w:rsidRPr="00F23661" w:rsidRDefault="0070520C" w:rsidP="00197BA3">
      <w:pPr>
        <w:autoSpaceDE w:val="0"/>
        <w:autoSpaceDN w:val="0"/>
        <w:adjustRightInd w:val="0"/>
        <w:spacing w:after="0"/>
        <w:jc w:val="both"/>
        <w:rPr>
          <w:rFonts w:ascii="Verdana" w:hAnsi="Verdana" w:cs="TT3BA2o00"/>
          <w:sz w:val="20"/>
          <w:szCs w:val="20"/>
        </w:rPr>
      </w:pPr>
      <w:r w:rsidRPr="00F23661">
        <w:rPr>
          <w:rFonts w:ascii="Verdana" w:hAnsi="Verdana"/>
          <w:sz w:val="20"/>
          <w:szCs w:val="20"/>
        </w:rPr>
        <w:t xml:space="preserve">The Fund's approach to RI </w:t>
      </w:r>
      <w:r w:rsidRPr="00F23661">
        <w:rPr>
          <w:rFonts w:ascii="Verdana" w:hAnsi="Verdana"/>
          <w:sz w:val="20"/>
          <w:szCs w:val="20"/>
        </w:rPr>
        <w:t xml:space="preserve">has been expressed </w:t>
      </w:r>
      <w:r w:rsidRPr="00F23661">
        <w:rPr>
          <w:rFonts w:ascii="Verdana" w:hAnsi="Verdana"/>
          <w:sz w:val="20"/>
          <w:szCs w:val="20"/>
        </w:rPr>
        <w:t>within its S</w:t>
      </w:r>
      <w:r w:rsidRPr="00F23661">
        <w:rPr>
          <w:rFonts w:ascii="Verdana" w:hAnsi="Verdana"/>
          <w:sz w:val="20"/>
          <w:szCs w:val="20"/>
        </w:rPr>
        <w:t xml:space="preserve">tatement of Investment Principles (SIP) </w:t>
      </w:r>
      <w:r w:rsidRPr="00F23661">
        <w:rPr>
          <w:rFonts w:ascii="Verdana" w:hAnsi="Verdana"/>
          <w:sz w:val="20"/>
          <w:szCs w:val="20"/>
        </w:rPr>
        <w:t>and</w:t>
      </w:r>
      <w:r w:rsidRPr="00F23661">
        <w:rPr>
          <w:rFonts w:ascii="Verdana" w:hAnsi="Verdana"/>
          <w:sz w:val="20"/>
          <w:szCs w:val="20"/>
        </w:rPr>
        <w:t xml:space="preserve"> confirms that the objective of RI is to decrease investor risk, improve risk-adjusted returns and </w:t>
      </w:r>
      <w:r w:rsidRPr="00F23661">
        <w:rPr>
          <w:rFonts w:ascii="Verdana" w:hAnsi="Verdana" w:cs="TT3B97o00"/>
          <w:sz w:val="20"/>
          <w:szCs w:val="20"/>
        </w:rPr>
        <w:t>assist</w:t>
      </w:r>
      <w:r w:rsidRPr="00F23661">
        <w:rPr>
          <w:rFonts w:ascii="Verdana" w:hAnsi="Verdana" w:cs="TT3B97o00"/>
          <w:sz w:val="20"/>
          <w:szCs w:val="20"/>
        </w:rPr>
        <w:t xml:space="preserve"> the Fund</w:t>
      </w:r>
      <w:r w:rsidRPr="00F23661">
        <w:rPr>
          <w:rFonts w:ascii="Verdana" w:hAnsi="Verdana" w:cs="TT3B97o00"/>
          <w:sz w:val="20"/>
          <w:szCs w:val="20"/>
        </w:rPr>
        <w:t xml:space="preserve">'s </w:t>
      </w:r>
      <w:r w:rsidRPr="00F23661">
        <w:rPr>
          <w:rFonts w:ascii="Verdana" w:hAnsi="Verdana" w:cs="TT3B97o00"/>
          <w:sz w:val="20"/>
          <w:szCs w:val="20"/>
        </w:rPr>
        <w:t>adhere</w:t>
      </w:r>
      <w:r w:rsidRPr="00F23661">
        <w:rPr>
          <w:rFonts w:ascii="Verdana" w:hAnsi="Verdana" w:cs="TT3B97o00"/>
          <w:sz w:val="20"/>
          <w:szCs w:val="20"/>
        </w:rPr>
        <w:t>nce</w:t>
      </w:r>
      <w:r w:rsidRPr="00F23661">
        <w:rPr>
          <w:rFonts w:ascii="Verdana" w:hAnsi="Verdana" w:cs="TT3B97o00"/>
          <w:sz w:val="20"/>
          <w:szCs w:val="20"/>
        </w:rPr>
        <w:t xml:space="preserve"> to the UK Stewardship Code. </w:t>
      </w:r>
    </w:p>
    <w:p w:rsidR="00197BA3" w:rsidRPr="00F23661" w:rsidRDefault="0070520C" w:rsidP="00197BA3">
      <w:pPr>
        <w:autoSpaceDE w:val="0"/>
        <w:autoSpaceDN w:val="0"/>
        <w:adjustRightInd w:val="0"/>
        <w:spacing w:after="0"/>
        <w:jc w:val="both"/>
        <w:rPr>
          <w:rFonts w:ascii="Verdana" w:hAnsi="Verdana" w:cs="TT3B97o00"/>
          <w:sz w:val="20"/>
          <w:szCs w:val="20"/>
        </w:rPr>
      </w:pPr>
    </w:p>
    <w:p w:rsidR="00197BA3" w:rsidRPr="00F23661" w:rsidRDefault="0070520C" w:rsidP="00197BA3">
      <w:pPr>
        <w:autoSpaceDE w:val="0"/>
        <w:autoSpaceDN w:val="0"/>
        <w:adjustRightInd w:val="0"/>
        <w:spacing w:after="0"/>
        <w:jc w:val="both"/>
        <w:rPr>
          <w:rFonts w:ascii="Verdana" w:hAnsi="Verdana" w:cs="TT3B97o00"/>
          <w:sz w:val="20"/>
          <w:szCs w:val="20"/>
        </w:rPr>
      </w:pPr>
      <w:r w:rsidRPr="00F23661">
        <w:rPr>
          <w:rFonts w:ascii="Verdana" w:hAnsi="Verdana" w:cs="TT3B97o00"/>
          <w:sz w:val="20"/>
          <w:szCs w:val="20"/>
        </w:rPr>
        <w:t xml:space="preserve">The </w:t>
      </w:r>
      <w:r w:rsidRPr="00F23661">
        <w:rPr>
          <w:rFonts w:ascii="Verdana" w:hAnsi="Verdana" w:cs="TT3B97o00"/>
          <w:sz w:val="20"/>
          <w:szCs w:val="20"/>
        </w:rPr>
        <w:t xml:space="preserve">Fund's </w:t>
      </w:r>
      <w:r w:rsidRPr="00F23661">
        <w:rPr>
          <w:rFonts w:ascii="Verdana" w:hAnsi="Verdana" w:cs="TT3B97o00"/>
          <w:sz w:val="20"/>
          <w:szCs w:val="20"/>
        </w:rPr>
        <w:t xml:space="preserve">approach </w:t>
      </w:r>
      <w:r w:rsidRPr="00F23661">
        <w:rPr>
          <w:rFonts w:ascii="Verdana" w:hAnsi="Verdana" w:cs="TT3B97o00"/>
          <w:sz w:val="20"/>
          <w:szCs w:val="20"/>
        </w:rPr>
        <w:t xml:space="preserve">to RI </w:t>
      </w:r>
      <w:r w:rsidRPr="00F23661">
        <w:rPr>
          <w:rFonts w:ascii="Verdana" w:hAnsi="Verdana" w:cs="TT3B97o00"/>
          <w:sz w:val="20"/>
          <w:szCs w:val="20"/>
        </w:rPr>
        <w:t>encompasses</w:t>
      </w:r>
      <w:r w:rsidRPr="00F23661">
        <w:rPr>
          <w:rFonts w:ascii="Verdana" w:hAnsi="Verdana" w:cs="TT3B97o00"/>
          <w:sz w:val="20"/>
          <w:szCs w:val="20"/>
        </w:rPr>
        <w:t xml:space="preserve"> four main areas of activity:</w:t>
      </w:r>
    </w:p>
    <w:p w:rsidR="00197BA3" w:rsidRPr="00F23661" w:rsidRDefault="0070520C" w:rsidP="00197BA3">
      <w:pPr>
        <w:autoSpaceDE w:val="0"/>
        <w:autoSpaceDN w:val="0"/>
        <w:adjustRightInd w:val="0"/>
        <w:spacing w:after="0"/>
        <w:jc w:val="both"/>
        <w:rPr>
          <w:rFonts w:ascii="Verdana" w:hAnsi="Verdana" w:cs="TT3BA2o00"/>
          <w:sz w:val="20"/>
          <w:szCs w:val="20"/>
        </w:rPr>
      </w:pPr>
    </w:p>
    <w:p w:rsidR="00197BA3" w:rsidRPr="00F23661" w:rsidRDefault="0070520C" w:rsidP="00220A9C">
      <w:pPr>
        <w:pStyle w:val="ListParagraph"/>
        <w:widowControl w:val="0"/>
        <w:numPr>
          <w:ilvl w:val="0"/>
          <w:numId w:val="6"/>
        </w:numPr>
        <w:autoSpaceDE w:val="0"/>
        <w:autoSpaceDN w:val="0"/>
        <w:adjustRightInd w:val="0"/>
        <w:spacing w:after="0" w:line="240" w:lineRule="auto"/>
        <w:ind w:hanging="720"/>
        <w:contextualSpacing w:val="0"/>
        <w:jc w:val="both"/>
        <w:rPr>
          <w:rFonts w:ascii="Verdana" w:hAnsi="Verdana" w:cs="TT3BA2o00"/>
          <w:sz w:val="20"/>
          <w:szCs w:val="20"/>
        </w:rPr>
      </w:pPr>
      <w:r w:rsidRPr="00F23661">
        <w:rPr>
          <w:rFonts w:ascii="Verdana" w:hAnsi="Verdana" w:cs="TT3BA2o00"/>
          <w:sz w:val="20"/>
          <w:szCs w:val="20"/>
        </w:rPr>
        <w:t>Voting Globally</w:t>
      </w:r>
    </w:p>
    <w:p w:rsidR="00197BA3" w:rsidRPr="00F23661" w:rsidRDefault="0070520C" w:rsidP="00220A9C">
      <w:pPr>
        <w:pStyle w:val="ListParagraph"/>
        <w:widowControl w:val="0"/>
        <w:numPr>
          <w:ilvl w:val="0"/>
          <w:numId w:val="6"/>
        </w:numPr>
        <w:autoSpaceDE w:val="0"/>
        <w:autoSpaceDN w:val="0"/>
        <w:adjustRightInd w:val="0"/>
        <w:spacing w:after="0" w:line="240" w:lineRule="auto"/>
        <w:ind w:hanging="720"/>
        <w:contextualSpacing w:val="0"/>
        <w:jc w:val="both"/>
        <w:rPr>
          <w:rFonts w:ascii="Verdana" w:hAnsi="Verdana" w:cs="TT3BA2o00"/>
          <w:sz w:val="20"/>
          <w:szCs w:val="20"/>
        </w:rPr>
      </w:pPr>
      <w:r w:rsidRPr="00F23661">
        <w:rPr>
          <w:rFonts w:ascii="Verdana" w:hAnsi="Verdana" w:cs="TT3BA2o00"/>
          <w:sz w:val="20"/>
          <w:szCs w:val="20"/>
        </w:rPr>
        <w:t>Engagement through Partnerships</w:t>
      </w:r>
    </w:p>
    <w:p w:rsidR="00197BA3" w:rsidRPr="00F23661" w:rsidRDefault="0070520C" w:rsidP="00220A9C">
      <w:pPr>
        <w:pStyle w:val="ListParagraph"/>
        <w:widowControl w:val="0"/>
        <w:numPr>
          <w:ilvl w:val="0"/>
          <w:numId w:val="6"/>
        </w:numPr>
        <w:autoSpaceDE w:val="0"/>
        <w:autoSpaceDN w:val="0"/>
        <w:adjustRightInd w:val="0"/>
        <w:spacing w:after="0" w:line="240" w:lineRule="auto"/>
        <w:ind w:hanging="720"/>
        <w:contextualSpacing w:val="0"/>
        <w:jc w:val="both"/>
        <w:rPr>
          <w:rFonts w:ascii="Verdana" w:hAnsi="Verdana" w:cs="TT3BA2o00"/>
          <w:sz w:val="20"/>
          <w:szCs w:val="20"/>
        </w:rPr>
      </w:pPr>
      <w:r w:rsidRPr="00F23661">
        <w:rPr>
          <w:rFonts w:ascii="Verdana" w:hAnsi="Verdana" w:cs="TT3BA2o00"/>
          <w:sz w:val="20"/>
          <w:szCs w:val="20"/>
        </w:rPr>
        <w:t>Shareholder Litigation</w:t>
      </w:r>
    </w:p>
    <w:p w:rsidR="00197BA3" w:rsidRPr="00F23661" w:rsidRDefault="0070520C" w:rsidP="00220A9C">
      <w:pPr>
        <w:pStyle w:val="ListParagraph"/>
        <w:widowControl w:val="0"/>
        <w:numPr>
          <w:ilvl w:val="0"/>
          <w:numId w:val="6"/>
        </w:numPr>
        <w:autoSpaceDE w:val="0"/>
        <w:autoSpaceDN w:val="0"/>
        <w:adjustRightInd w:val="0"/>
        <w:spacing w:after="0" w:line="240" w:lineRule="auto"/>
        <w:ind w:hanging="720"/>
        <w:contextualSpacing w:val="0"/>
        <w:jc w:val="both"/>
        <w:rPr>
          <w:rFonts w:ascii="Verdana" w:hAnsi="Verdana" w:cs="TT3BA2o00"/>
          <w:sz w:val="20"/>
          <w:szCs w:val="20"/>
        </w:rPr>
      </w:pPr>
      <w:r w:rsidRPr="00F23661">
        <w:rPr>
          <w:rFonts w:ascii="Verdana" w:hAnsi="Verdana" w:cs="TT3BA2o00"/>
          <w:sz w:val="20"/>
          <w:szCs w:val="20"/>
        </w:rPr>
        <w:t>Active Investing</w:t>
      </w:r>
    </w:p>
    <w:p w:rsidR="006403C0" w:rsidRPr="00F23661" w:rsidRDefault="0070520C" w:rsidP="00197BA3">
      <w:pPr>
        <w:autoSpaceDE w:val="0"/>
        <w:autoSpaceDN w:val="0"/>
        <w:adjustRightInd w:val="0"/>
        <w:spacing w:after="0"/>
        <w:jc w:val="both"/>
        <w:rPr>
          <w:rFonts w:ascii="Verdana" w:hAnsi="Verdana" w:cs="TT3B97o00"/>
          <w:sz w:val="20"/>
          <w:szCs w:val="20"/>
        </w:rPr>
      </w:pPr>
    </w:p>
    <w:p w:rsidR="00197BA3" w:rsidRPr="00F23661" w:rsidRDefault="0070520C" w:rsidP="00197BA3">
      <w:pPr>
        <w:autoSpaceDE w:val="0"/>
        <w:autoSpaceDN w:val="0"/>
        <w:adjustRightInd w:val="0"/>
        <w:spacing w:after="0"/>
        <w:jc w:val="both"/>
        <w:rPr>
          <w:rFonts w:ascii="Verdana" w:hAnsi="Verdana" w:cs="TT3BA2o00"/>
          <w:sz w:val="20"/>
          <w:szCs w:val="20"/>
        </w:rPr>
      </w:pPr>
      <w:r w:rsidRPr="00F23661">
        <w:rPr>
          <w:rFonts w:ascii="Verdana" w:hAnsi="Verdana" w:cs="TT3B97o00"/>
          <w:sz w:val="20"/>
          <w:szCs w:val="20"/>
        </w:rPr>
        <w:t>Responsibility for t</w:t>
      </w:r>
      <w:r w:rsidRPr="00F23661">
        <w:rPr>
          <w:rFonts w:ascii="Verdana" w:hAnsi="Verdana" w:cs="TT3B97o00"/>
          <w:sz w:val="20"/>
          <w:szCs w:val="20"/>
        </w:rPr>
        <w:t>he practical implementation</w:t>
      </w:r>
      <w:r w:rsidRPr="00F23661">
        <w:rPr>
          <w:rFonts w:ascii="Verdana" w:hAnsi="Verdana" w:cs="TT3B97o00"/>
          <w:sz w:val="20"/>
          <w:szCs w:val="20"/>
        </w:rPr>
        <w:t xml:space="preserve"> of the Fund's approach to RI is </w:t>
      </w:r>
      <w:r w:rsidRPr="00F23661">
        <w:rPr>
          <w:rFonts w:ascii="Verdana" w:hAnsi="Verdana" w:cs="TT3B97o00"/>
          <w:sz w:val="20"/>
          <w:szCs w:val="20"/>
        </w:rPr>
        <w:t xml:space="preserve">devolved to LPP I as LCPF's provider of investment </w:t>
      </w:r>
      <w:r w:rsidRPr="00F23661">
        <w:rPr>
          <w:rFonts w:ascii="Verdana" w:hAnsi="Verdana" w:cs="TT3B97o00"/>
          <w:sz w:val="20"/>
          <w:szCs w:val="20"/>
        </w:rPr>
        <w:t>management services.</w:t>
      </w:r>
      <w:r w:rsidRPr="00F23661">
        <w:rPr>
          <w:rFonts w:ascii="Verdana" w:hAnsi="Verdana" w:cs="TT3B97o00"/>
          <w:sz w:val="20"/>
          <w:szCs w:val="20"/>
        </w:rPr>
        <w:t xml:space="preserve"> The report which follows provides </w:t>
      </w:r>
      <w:r w:rsidRPr="00F23661">
        <w:rPr>
          <w:rFonts w:ascii="Verdana" w:hAnsi="Verdana" w:cs="TT3B97o00"/>
          <w:sz w:val="20"/>
          <w:szCs w:val="20"/>
        </w:rPr>
        <w:t xml:space="preserve">the committee with </w:t>
      </w:r>
      <w:r w:rsidRPr="00F23661">
        <w:rPr>
          <w:rFonts w:ascii="Verdana" w:hAnsi="Verdana" w:cs="TT3B97o00"/>
          <w:sz w:val="20"/>
          <w:szCs w:val="20"/>
        </w:rPr>
        <w:t xml:space="preserve">an update on RI activity </w:t>
      </w:r>
      <w:r w:rsidRPr="00F23661">
        <w:rPr>
          <w:rFonts w:ascii="Verdana" w:hAnsi="Verdana" w:cs="TT3B97o00"/>
          <w:sz w:val="20"/>
          <w:szCs w:val="20"/>
        </w:rPr>
        <w:t>during</w:t>
      </w:r>
      <w:r w:rsidRPr="00F23661">
        <w:rPr>
          <w:rFonts w:ascii="Verdana" w:hAnsi="Verdana" w:cs="TT3B97o00"/>
          <w:sz w:val="20"/>
          <w:szCs w:val="20"/>
        </w:rPr>
        <w:t xml:space="preserve"> the period 1</w:t>
      </w:r>
      <w:r w:rsidRPr="00F23661">
        <w:rPr>
          <w:rFonts w:ascii="Verdana" w:hAnsi="Verdana" w:cs="TT3B97o00"/>
          <w:sz w:val="20"/>
          <w:szCs w:val="20"/>
          <w:vertAlign w:val="superscript"/>
        </w:rPr>
        <w:t>st</w:t>
      </w:r>
      <w:r w:rsidRPr="00F23661">
        <w:rPr>
          <w:rFonts w:ascii="Verdana" w:hAnsi="Verdana" w:cs="TT3B97o00"/>
          <w:sz w:val="20"/>
          <w:szCs w:val="20"/>
        </w:rPr>
        <w:t xml:space="preserve"> </w:t>
      </w:r>
      <w:r w:rsidRPr="00F23661">
        <w:rPr>
          <w:rFonts w:ascii="Verdana" w:hAnsi="Verdana" w:cs="TT3B97o00"/>
          <w:sz w:val="20"/>
          <w:szCs w:val="20"/>
        </w:rPr>
        <w:t>July</w:t>
      </w:r>
      <w:r w:rsidRPr="00F23661">
        <w:rPr>
          <w:rFonts w:ascii="Verdana" w:hAnsi="Verdana" w:cs="TT3B97o00"/>
          <w:sz w:val="20"/>
          <w:szCs w:val="20"/>
        </w:rPr>
        <w:t xml:space="preserve"> to 30</w:t>
      </w:r>
      <w:r w:rsidRPr="00F23661">
        <w:rPr>
          <w:rFonts w:ascii="Verdana" w:hAnsi="Verdana" w:cs="TT3B97o00"/>
          <w:sz w:val="20"/>
          <w:szCs w:val="20"/>
          <w:vertAlign w:val="superscript"/>
        </w:rPr>
        <w:t>th</w:t>
      </w:r>
      <w:r w:rsidRPr="00F23661">
        <w:rPr>
          <w:rFonts w:ascii="Verdana" w:hAnsi="Verdana" w:cs="TT3B97o00"/>
          <w:sz w:val="20"/>
          <w:szCs w:val="20"/>
        </w:rPr>
        <w:t xml:space="preserve"> </w:t>
      </w:r>
      <w:r w:rsidRPr="00F23661">
        <w:rPr>
          <w:rFonts w:ascii="Verdana" w:hAnsi="Verdana" w:cs="TT3B97o00"/>
          <w:sz w:val="20"/>
          <w:szCs w:val="20"/>
        </w:rPr>
        <w:t>September</w:t>
      </w:r>
      <w:r w:rsidRPr="00F23661">
        <w:rPr>
          <w:rFonts w:ascii="Verdana" w:hAnsi="Verdana" w:cs="TT3B97o00"/>
          <w:sz w:val="20"/>
          <w:szCs w:val="20"/>
        </w:rPr>
        <w:t xml:space="preserve"> 2016</w:t>
      </w:r>
      <w:r>
        <w:rPr>
          <w:rFonts w:ascii="Verdana" w:hAnsi="Verdana" w:cs="TT3B97o00"/>
          <w:sz w:val="20"/>
          <w:szCs w:val="20"/>
        </w:rPr>
        <w:t xml:space="preserve"> plus insight on current and emerging issues</w:t>
      </w:r>
      <w:r w:rsidRPr="00F23661">
        <w:rPr>
          <w:rFonts w:ascii="Verdana" w:hAnsi="Verdana" w:cs="TT3B97o00"/>
          <w:sz w:val="20"/>
          <w:szCs w:val="20"/>
        </w:rPr>
        <w:t xml:space="preserve">. </w:t>
      </w:r>
    </w:p>
    <w:p w:rsidR="00F83B47" w:rsidRPr="00F23661" w:rsidRDefault="0070520C" w:rsidP="00197BA3">
      <w:pPr>
        <w:autoSpaceDE w:val="0"/>
        <w:autoSpaceDN w:val="0"/>
        <w:adjustRightInd w:val="0"/>
        <w:spacing w:after="0"/>
        <w:jc w:val="both"/>
        <w:rPr>
          <w:rFonts w:ascii="Verdana" w:hAnsi="Verdana" w:cs="TT3BA2o00"/>
          <w:sz w:val="20"/>
          <w:szCs w:val="20"/>
        </w:rPr>
      </w:pPr>
    </w:p>
    <w:p w:rsidR="00197BA3" w:rsidRPr="00F23661" w:rsidRDefault="0070520C" w:rsidP="00220A9C">
      <w:pPr>
        <w:pStyle w:val="treb"/>
        <w:numPr>
          <w:ilvl w:val="0"/>
          <w:numId w:val="5"/>
        </w:numPr>
        <w:spacing w:after="0"/>
        <w:ind w:hanging="720"/>
        <w:rPr>
          <w:rFonts w:ascii="Verdana" w:hAnsi="Verdana"/>
          <w:color w:val="54BBAB" w:themeColor="text2"/>
          <w:sz w:val="20"/>
          <w:szCs w:val="20"/>
        </w:rPr>
      </w:pPr>
      <w:r w:rsidRPr="00F23661">
        <w:rPr>
          <w:rFonts w:ascii="Verdana" w:hAnsi="Verdana"/>
          <w:color w:val="54BBAB" w:themeColor="text2"/>
          <w:sz w:val="20"/>
          <w:szCs w:val="20"/>
        </w:rPr>
        <w:t>Voting Globally</w:t>
      </w:r>
    </w:p>
    <w:p w:rsidR="00197BA3" w:rsidRPr="00F23661" w:rsidRDefault="0070520C" w:rsidP="00197BA3">
      <w:pPr>
        <w:pStyle w:val="treb"/>
        <w:numPr>
          <w:ilvl w:val="0"/>
          <w:numId w:val="0"/>
        </w:numPr>
        <w:spacing w:after="0"/>
        <w:rPr>
          <w:rFonts w:ascii="Verdana" w:hAnsi="Verdana"/>
          <w:color w:val="54BBAB" w:themeColor="text2"/>
          <w:sz w:val="20"/>
          <w:szCs w:val="20"/>
        </w:rPr>
      </w:pPr>
    </w:p>
    <w:p w:rsidR="00197BA3" w:rsidRPr="00F23661" w:rsidRDefault="0070520C" w:rsidP="00197BA3">
      <w:pPr>
        <w:autoSpaceDE w:val="0"/>
        <w:autoSpaceDN w:val="0"/>
        <w:adjustRightInd w:val="0"/>
        <w:spacing w:after="0"/>
        <w:rPr>
          <w:rFonts w:ascii="Verdana" w:hAnsi="Verdana" w:cs="Arial"/>
          <w:sz w:val="20"/>
          <w:szCs w:val="20"/>
        </w:rPr>
      </w:pPr>
      <w:r w:rsidRPr="00F23661">
        <w:rPr>
          <w:rFonts w:ascii="Verdana" w:hAnsi="Verdana" w:cs="Arial"/>
          <w:sz w:val="20"/>
          <w:szCs w:val="20"/>
        </w:rPr>
        <w:t xml:space="preserve">LCPF owns shares in listed companies across the globe. </w:t>
      </w:r>
      <w:r w:rsidRPr="00F23661">
        <w:rPr>
          <w:rFonts w:ascii="Verdana" w:hAnsi="Verdana" w:cs="Arial"/>
          <w:sz w:val="20"/>
          <w:szCs w:val="20"/>
        </w:rPr>
        <w:t>T</w:t>
      </w:r>
      <w:r w:rsidRPr="00F23661">
        <w:rPr>
          <w:rFonts w:ascii="Verdana" w:hAnsi="Verdana" w:cs="Arial"/>
          <w:sz w:val="20"/>
          <w:szCs w:val="20"/>
        </w:rPr>
        <w:t xml:space="preserve">he Fund </w:t>
      </w:r>
      <w:r w:rsidRPr="00F23661">
        <w:rPr>
          <w:rFonts w:ascii="Verdana" w:hAnsi="Verdana" w:cs="Arial"/>
          <w:sz w:val="20"/>
          <w:szCs w:val="20"/>
        </w:rPr>
        <w:t>employs</w:t>
      </w:r>
      <w:r w:rsidRPr="00F23661">
        <w:rPr>
          <w:rFonts w:ascii="Verdana" w:hAnsi="Verdana" w:cs="Arial"/>
          <w:sz w:val="20"/>
          <w:szCs w:val="20"/>
        </w:rPr>
        <w:t xml:space="preserve"> an external provider of </w:t>
      </w:r>
      <w:r w:rsidRPr="00F23661">
        <w:rPr>
          <w:rFonts w:ascii="Verdana" w:hAnsi="Verdana"/>
          <w:sz w:val="20"/>
          <w:szCs w:val="20"/>
        </w:rPr>
        <w:t>proxy voting and governance services</w:t>
      </w:r>
      <w:r w:rsidRPr="00F23661">
        <w:rPr>
          <w:rFonts w:ascii="Verdana" w:hAnsi="Verdana" w:cs="Arial"/>
          <w:sz w:val="20"/>
          <w:szCs w:val="20"/>
        </w:rPr>
        <w:t xml:space="preserve"> to ensure effective and consistent use of the voting rights attached to these assets</w:t>
      </w:r>
      <w:r w:rsidRPr="00F23661">
        <w:rPr>
          <w:rFonts w:ascii="Verdana" w:hAnsi="Verdana"/>
          <w:sz w:val="20"/>
          <w:szCs w:val="20"/>
        </w:rPr>
        <w:t>. Pensions and Investment Research Cons</w:t>
      </w:r>
      <w:r w:rsidRPr="00F23661">
        <w:rPr>
          <w:rFonts w:ascii="Verdana" w:hAnsi="Verdana"/>
          <w:sz w:val="20"/>
          <w:szCs w:val="20"/>
        </w:rPr>
        <w:t>ultants Ltd (PIRC)</w:t>
      </w:r>
      <w:r w:rsidRPr="00F23661">
        <w:rPr>
          <w:rFonts w:ascii="Verdana" w:hAnsi="Verdana" w:cs="Arial"/>
          <w:sz w:val="20"/>
          <w:szCs w:val="20"/>
        </w:rPr>
        <w:t xml:space="preserve"> analyse and apply voting </w:t>
      </w:r>
      <w:r w:rsidRPr="00F23661">
        <w:rPr>
          <w:rFonts w:ascii="Verdana" w:hAnsi="Verdana" w:cs="Arial"/>
          <w:bCs/>
          <w:sz w:val="20"/>
          <w:szCs w:val="20"/>
        </w:rPr>
        <w:t xml:space="preserve">guidelines to </w:t>
      </w:r>
      <w:r w:rsidRPr="00F23661">
        <w:rPr>
          <w:rFonts w:ascii="Verdana" w:hAnsi="Verdana" w:cs="Arial"/>
          <w:sz w:val="20"/>
          <w:szCs w:val="20"/>
        </w:rPr>
        <w:t xml:space="preserve">the </w:t>
      </w:r>
      <w:r w:rsidRPr="00F23661">
        <w:rPr>
          <w:rFonts w:ascii="Verdana" w:hAnsi="Verdana" w:cs="Arial"/>
          <w:bCs/>
          <w:sz w:val="20"/>
          <w:szCs w:val="20"/>
        </w:rPr>
        <w:t xml:space="preserve">resolutions at every </w:t>
      </w:r>
      <w:r w:rsidRPr="00F23661">
        <w:rPr>
          <w:rFonts w:ascii="Verdana" w:hAnsi="Verdana" w:cs="Arial"/>
          <w:sz w:val="20"/>
          <w:szCs w:val="20"/>
        </w:rPr>
        <w:lastRenderedPageBreak/>
        <w:t xml:space="preserve">shareholder meeting the Fund is entitled to attend and </w:t>
      </w:r>
      <w:r w:rsidRPr="00F23661">
        <w:rPr>
          <w:rFonts w:ascii="Verdana" w:hAnsi="Verdana" w:cs="Arial"/>
          <w:sz w:val="20"/>
          <w:szCs w:val="20"/>
        </w:rPr>
        <w:t>oversee</w:t>
      </w:r>
      <w:r w:rsidRPr="00F23661">
        <w:rPr>
          <w:rFonts w:ascii="Verdana" w:hAnsi="Verdana" w:cs="Arial"/>
          <w:sz w:val="20"/>
          <w:szCs w:val="20"/>
        </w:rPr>
        <w:t xml:space="preserve"> the process of vote execution. </w:t>
      </w:r>
    </w:p>
    <w:p w:rsidR="00197BA3" w:rsidRPr="00F23661" w:rsidRDefault="0070520C" w:rsidP="00197BA3">
      <w:pPr>
        <w:autoSpaceDE w:val="0"/>
        <w:autoSpaceDN w:val="0"/>
        <w:adjustRightInd w:val="0"/>
        <w:spacing w:after="0"/>
        <w:rPr>
          <w:rFonts w:ascii="Verdana" w:hAnsi="Verdana" w:cs="Arial"/>
          <w:sz w:val="20"/>
          <w:szCs w:val="20"/>
        </w:rPr>
      </w:pPr>
    </w:p>
    <w:p w:rsidR="00343C9E" w:rsidRPr="00F23661" w:rsidRDefault="0070520C" w:rsidP="00197BA3">
      <w:pPr>
        <w:widowControl w:val="0"/>
        <w:spacing w:after="0"/>
        <w:outlineLvl w:val="0"/>
        <w:rPr>
          <w:rFonts w:ascii="Verdana" w:hAnsi="Verdana"/>
          <w:bCs/>
          <w:sz w:val="20"/>
          <w:szCs w:val="20"/>
        </w:rPr>
      </w:pPr>
      <w:r w:rsidRPr="00F23661">
        <w:rPr>
          <w:rFonts w:ascii="Verdana" w:hAnsi="Verdana" w:cs="Arial"/>
          <w:bCs/>
          <w:sz w:val="20"/>
          <w:szCs w:val="20"/>
        </w:rPr>
        <w:t xml:space="preserve">PIRC provide quarterly reports </w:t>
      </w:r>
      <w:r w:rsidRPr="00F23661">
        <w:rPr>
          <w:rFonts w:ascii="Verdana" w:hAnsi="Verdana" w:cs="Arial"/>
          <w:bCs/>
          <w:sz w:val="20"/>
          <w:szCs w:val="20"/>
        </w:rPr>
        <w:t>which include</w:t>
      </w:r>
      <w:r w:rsidRPr="00F23661">
        <w:rPr>
          <w:rFonts w:ascii="Verdana" w:hAnsi="Verdana" w:cs="Arial"/>
          <w:bCs/>
          <w:sz w:val="20"/>
          <w:szCs w:val="20"/>
        </w:rPr>
        <w:t xml:space="preserve"> a summary of votes cast</w:t>
      </w:r>
      <w:r w:rsidRPr="00F23661">
        <w:rPr>
          <w:rFonts w:ascii="Verdana" w:hAnsi="Verdana"/>
          <w:bCs/>
          <w:sz w:val="20"/>
          <w:szCs w:val="20"/>
        </w:rPr>
        <w:t xml:space="preserve"> </w:t>
      </w:r>
      <w:r w:rsidRPr="00F23661">
        <w:rPr>
          <w:rFonts w:ascii="Verdana" w:hAnsi="Verdana"/>
          <w:bCs/>
          <w:sz w:val="20"/>
          <w:szCs w:val="20"/>
        </w:rPr>
        <w:t xml:space="preserve">in the period </w:t>
      </w:r>
      <w:r w:rsidRPr="00F23661">
        <w:rPr>
          <w:rFonts w:ascii="Verdana" w:hAnsi="Verdana"/>
          <w:bCs/>
          <w:sz w:val="20"/>
          <w:szCs w:val="20"/>
        </w:rPr>
        <w:t>and the outcome of voting (where known). A copy of the most recent report covering the period from 1</w:t>
      </w:r>
      <w:r w:rsidRPr="00F23661">
        <w:rPr>
          <w:rFonts w:ascii="Verdana" w:hAnsi="Verdana"/>
          <w:bCs/>
          <w:sz w:val="20"/>
          <w:szCs w:val="20"/>
          <w:vertAlign w:val="superscript"/>
        </w:rPr>
        <w:t>st</w:t>
      </w:r>
      <w:r w:rsidRPr="00F23661">
        <w:rPr>
          <w:rFonts w:ascii="Verdana" w:hAnsi="Verdana"/>
          <w:bCs/>
          <w:sz w:val="20"/>
          <w:szCs w:val="20"/>
        </w:rPr>
        <w:t xml:space="preserve"> </w:t>
      </w:r>
      <w:r w:rsidRPr="00F23661">
        <w:rPr>
          <w:rFonts w:ascii="Verdana" w:hAnsi="Verdana"/>
          <w:bCs/>
          <w:sz w:val="20"/>
          <w:szCs w:val="20"/>
        </w:rPr>
        <w:t xml:space="preserve">July </w:t>
      </w:r>
      <w:r w:rsidRPr="00F23661">
        <w:rPr>
          <w:rFonts w:ascii="Verdana" w:hAnsi="Verdana"/>
          <w:bCs/>
          <w:sz w:val="20"/>
          <w:szCs w:val="20"/>
        </w:rPr>
        <w:t>to 30</w:t>
      </w:r>
      <w:r w:rsidRPr="00F23661">
        <w:rPr>
          <w:rFonts w:ascii="Verdana" w:hAnsi="Verdana"/>
          <w:bCs/>
          <w:sz w:val="20"/>
          <w:szCs w:val="20"/>
          <w:vertAlign w:val="superscript"/>
        </w:rPr>
        <w:t>th</w:t>
      </w:r>
      <w:r w:rsidRPr="00F23661">
        <w:rPr>
          <w:rFonts w:ascii="Verdana" w:hAnsi="Verdana"/>
          <w:bCs/>
          <w:sz w:val="20"/>
          <w:szCs w:val="20"/>
        </w:rPr>
        <w:t xml:space="preserve"> </w:t>
      </w:r>
      <w:r w:rsidRPr="00F23661">
        <w:rPr>
          <w:rFonts w:ascii="Verdana" w:hAnsi="Verdana"/>
          <w:bCs/>
          <w:sz w:val="20"/>
          <w:szCs w:val="20"/>
        </w:rPr>
        <w:t>September</w:t>
      </w:r>
      <w:r w:rsidRPr="00F23661">
        <w:rPr>
          <w:rFonts w:ascii="Verdana" w:hAnsi="Verdana"/>
          <w:bCs/>
          <w:sz w:val="20"/>
          <w:szCs w:val="20"/>
        </w:rPr>
        <w:t xml:space="preserve"> 2016 has been placed within the Members Reading Room for reference. </w:t>
      </w:r>
    </w:p>
    <w:p w:rsidR="00343C9E" w:rsidRPr="00F23661" w:rsidRDefault="0070520C" w:rsidP="00197BA3">
      <w:pPr>
        <w:widowControl w:val="0"/>
        <w:spacing w:after="0"/>
        <w:outlineLvl w:val="0"/>
        <w:rPr>
          <w:rFonts w:ascii="Verdana" w:hAnsi="Verdana"/>
          <w:bCs/>
          <w:sz w:val="20"/>
          <w:szCs w:val="20"/>
        </w:rPr>
      </w:pPr>
    </w:p>
    <w:p w:rsidR="0012121B" w:rsidRPr="00F23661" w:rsidRDefault="0070520C" w:rsidP="0012121B">
      <w:pPr>
        <w:widowControl w:val="0"/>
        <w:spacing w:after="0"/>
        <w:outlineLvl w:val="0"/>
        <w:rPr>
          <w:rFonts w:ascii="Verdana" w:hAnsi="Verdana"/>
          <w:bCs/>
          <w:sz w:val="20"/>
          <w:szCs w:val="20"/>
        </w:rPr>
      </w:pPr>
      <w:r w:rsidRPr="00F23661">
        <w:rPr>
          <w:rFonts w:ascii="Verdana" w:hAnsi="Verdana"/>
          <w:bCs/>
          <w:sz w:val="20"/>
          <w:szCs w:val="20"/>
        </w:rPr>
        <w:t>During the third quarter of 2016 the Fund's in</w:t>
      </w:r>
      <w:r w:rsidRPr="00F23661">
        <w:rPr>
          <w:rFonts w:ascii="Verdana" w:hAnsi="Verdana"/>
          <w:bCs/>
          <w:sz w:val="20"/>
          <w:szCs w:val="20"/>
        </w:rPr>
        <w:t>terests spanned 20 shareholder meetings (17 AGM, 3 EGM) incorporating 271 separate resolutions.  The tables below summarise the spread of voting within Q3:</w:t>
      </w:r>
    </w:p>
    <w:p w:rsidR="0012121B" w:rsidRPr="00F23661" w:rsidRDefault="0070520C" w:rsidP="00197BA3">
      <w:pPr>
        <w:widowControl w:val="0"/>
        <w:spacing w:after="0"/>
        <w:outlineLvl w:val="0"/>
        <w:rPr>
          <w:rFonts w:ascii="Verdana" w:hAnsi="Verdana"/>
          <w:bCs/>
          <w:sz w:val="20"/>
          <w:szCs w:val="20"/>
        </w:rPr>
      </w:pPr>
    </w:p>
    <w:tbl>
      <w:tblPr>
        <w:tblStyle w:val="TableGrid"/>
        <w:tblW w:w="5949" w:type="dxa"/>
        <w:tblLook w:val="04A0" w:firstRow="1" w:lastRow="0" w:firstColumn="1" w:lastColumn="0" w:noHBand="0" w:noVBand="1"/>
      </w:tblPr>
      <w:tblGrid>
        <w:gridCol w:w="3397"/>
        <w:gridCol w:w="1284"/>
        <w:gridCol w:w="1268"/>
      </w:tblGrid>
      <w:tr w:rsidR="00817C88" w:rsidTr="00F41524">
        <w:trPr>
          <w:trHeight w:val="315"/>
        </w:trPr>
        <w:tc>
          <w:tcPr>
            <w:tcW w:w="3397" w:type="dxa"/>
            <w:noWrap/>
          </w:tcPr>
          <w:p w:rsidR="00757C45" w:rsidRPr="00F23661" w:rsidRDefault="0070520C" w:rsidP="00757C45">
            <w:pPr>
              <w:rPr>
                <w:rFonts w:ascii="Verdana" w:eastAsia="Times New Roman" w:hAnsi="Verdana" w:cs="Times New Roman"/>
                <w:bCs/>
                <w:color w:val="000000"/>
                <w:sz w:val="20"/>
                <w:szCs w:val="20"/>
                <w:lang w:eastAsia="en-GB"/>
              </w:rPr>
            </w:pPr>
            <w:r w:rsidRPr="00F23661">
              <w:rPr>
                <w:rFonts w:ascii="Verdana" w:eastAsia="Times New Roman" w:hAnsi="Verdana" w:cs="Times New Roman"/>
                <w:bCs/>
                <w:color w:val="000000"/>
                <w:sz w:val="20"/>
                <w:szCs w:val="20"/>
                <w:lang w:eastAsia="en-GB"/>
              </w:rPr>
              <w:t>Location</w:t>
            </w:r>
          </w:p>
        </w:tc>
        <w:tc>
          <w:tcPr>
            <w:tcW w:w="2552" w:type="dxa"/>
            <w:gridSpan w:val="2"/>
            <w:noWrap/>
          </w:tcPr>
          <w:p w:rsidR="00757C45" w:rsidRPr="00F23661" w:rsidRDefault="0070520C" w:rsidP="00757C45">
            <w:pPr>
              <w:jc w:val="cente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Meetings Voted</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 xml:space="preserve">UK &amp; BRITISH OVERSEAS </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4</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20%</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EUROPE &amp; GLOBAL EU</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5</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25%</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 xml:space="preserve">USA &amp; CANADA </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3</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15%</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 xml:space="preserve">ASIA </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4</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20%</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AUSTRALIA &amp; NEW ZEALAND</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3</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15%</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 xml:space="preserve">REST OF THE WORLD </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5%</w:t>
            </w:r>
          </w:p>
        </w:tc>
      </w:tr>
      <w:tr w:rsidR="00817C88" w:rsidTr="00757C45">
        <w:trPr>
          <w:trHeight w:val="315"/>
        </w:trPr>
        <w:tc>
          <w:tcPr>
            <w:tcW w:w="3397" w:type="dxa"/>
            <w:noWrap/>
            <w:hideMark/>
          </w:tcPr>
          <w:p w:rsidR="00757C45" w:rsidRPr="00F23661" w:rsidRDefault="0070520C" w:rsidP="00757C45">
            <w:pPr>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 xml:space="preserve">TOTAL </w:t>
            </w:r>
          </w:p>
        </w:tc>
        <w:tc>
          <w:tcPr>
            <w:tcW w:w="1284"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20</w:t>
            </w:r>
          </w:p>
        </w:tc>
        <w:tc>
          <w:tcPr>
            <w:tcW w:w="1268" w:type="dxa"/>
            <w:noWrap/>
            <w:hideMark/>
          </w:tcPr>
          <w:p w:rsidR="00757C45" w:rsidRPr="00F23661" w:rsidRDefault="0070520C" w:rsidP="00757C45">
            <w:pPr>
              <w:jc w:val="right"/>
              <w:rPr>
                <w:rFonts w:ascii="Verdana" w:eastAsia="Times New Roman" w:hAnsi="Verdana" w:cs="Times New Roman"/>
                <w:color w:val="000000"/>
                <w:sz w:val="20"/>
                <w:szCs w:val="20"/>
                <w:lang w:eastAsia="en-GB"/>
              </w:rPr>
            </w:pPr>
            <w:r w:rsidRPr="00F23661">
              <w:rPr>
                <w:rFonts w:ascii="Verdana" w:eastAsia="Times New Roman" w:hAnsi="Verdana" w:cs="Times New Roman"/>
                <w:bCs/>
                <w:color w:val="000000"/>
                <w:sz w:val="20"/>
                <w:szCs w:val="20"/>
                <w:lang w:eastAsia="en-GB"/>
              </w:rPr>
              <w:t>100%</w:t>
            </w:r>
          </w:p>
        </w:tc>
      </w:tr>
    </w:tbl>
    <w:p w:rsidR="00757C45" w:rsidRPr="00F23661" w:rsidRDefault="0070520C" w:rsidP="00197BA3">
      <w:pPr>
        <w:widowControl w:val="0"/>
        <w:spacing w:after="0"/>
        <w:outlineLvl w:val="0"/>
        <w:rPr>
          <w:rFonts w:ascii="Verdana" w:hAnsi="Verdana"/>
          <w:color w:val="183850" w:themeColor="text1"/>
          <w:sz w:val="20"/>
          <w:szCs w:val="20"/>
          <w:highlight w:val="yellow"/>
        </w:rPr>
      </w:pPr>
    </w:p>
    <w:tbl>
      <w:tblPr>
        <w:tblW w:w="5830" w:type="dxa"/>
        <w:tblInd w:w="-5" w:type="dxa"/>
        <w:tblLook w:val="04A0" w:firstRow="1" w:lastRow="0" w:firstColumn="1" w:lastColumn="0" w:noHBand="0" w:noVBand="1"/>
      </w:tblPr>
      <w:tblGrid>
        <w:gridCol w:w="2656"/>
        <w:gridCol w:w="1880"/>
        <w:gridCol w:w="1700"/>
      </w:tblGrid>
      <w:tr w:rsidR="00817C88" w:rsidTr="00757C45">
        <w:trPr>
          <w:trHeight w:val="750"/>
        </w:trPr>
        <w:tc>
          <w:tcPr>
            <w:tcW w:w="2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7C45" w:rsidRPr="00F23661" w:rsidRDefault="0070520C" w:rsidP="00757C45">
            <w:pPr>
              <w:spacing w:after="0" w:line="240" w:lineRule="auto"/>
              <w:rPr>
                <w:rFonts w:ascii="Verdana" w:eastAsia="Times New Roman" w:hAnsi="Verdana" w:cs="Times New Roman"/>
                <w:b/>
                <w:bCs/>
                <w:color w:val="000000"/>
                <w:sz w:val="20"/>
                <w:szCs w:val="20"/>
                <w:lang w:eastAsia="en-GB"/>
              </w:rPr>
            </w:pPr>
            <w:r w:rsidRPr="00F23661">
              <w:rPr>
                <w:rFonts w:ascii="Verdana" w:eastAsia="Times New Roman" w:hAnsi="Verdana" w:cs="Times New Roman"/>
                <w:b/>
                <w:bCs/>
                <w:color w:val="000000"/>
                <w:sz w:val="20"/>
                <w:szCs w:val="20"/>
                <w:lang w:eastAsia="en-GB"/>
              </w:rPr>
              <w:t>Vote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757C45" w:rsidRPr="00F23661" w:rsidRDefault="0070520C" w:rsidP="00757C45">
            <w:pPr>
              <w:spacing w:after="0" w:line="240" w:lineRule="auto"/>
              <w:jc w:val="center"/>
              <w:rPr>
                <w:rFonts w:ascii="Verdana" w:eastAsia="Times New Roman" w:hAnsi="Verdana" w:cs="Times New Roman"/>
                <w:b/>
                <w:bCs/>
                <w:color w:val="000000"/>
                <w:sz w:val="20"/>
                <w:szCs w:val="20"/>
                <w:lang w:eastAsia="en-GB"/>
              </w:rPr>
            </w:pPr>
            <w:r w:rsidRPr="00F23661">
              <w:rPr>
                <w:rFonts w:ascii="Verdana" w:eastAsia="Times New Roman" w:hAnsi="Verdana" w:cs="Times New Roman"/>
                <w:b/>
                <w:bCs/>
                <w:color w:val="000000"/>
                <w:sz w:val="20"/>
                <w:szCs w:val="20"/>
                <w:lang w:eastAsia="en-GB"/>
              </w:rPr>
              <w:t>No. of Resolutions</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757C45" w:rsidRPr="00F23661" w:rsidRDefault="0070520C" w:rsidP="00757C45">
            <w:pPr>
              <w:spacing w:after="0" w:line="240" w:lineRule="auto"/>
              <w:jc w:val="center"/>
              <w:rPr>
                <w:rFonts w:ascii="Verdana" w:eastAsia="Times New Roman" w:hAnsi="Verdana" w:cs="Times New Roman"/>
                <w:b/>
                <w:bCs/>
                <w:color w:val="000000"/>
                <w:sz w:val="20"/>
                <w:szCs w:val="20"/>
                <w:lang w:eastAsia="en-GB"/>
              </w:rPr>
            </w:pPr>
            <w:r w:rsidRPr="00F23661">
              <w:rPr>
                <w:rFonts w:ascii="Verdana" w:eastAsia="Times New Roman" w:hAnsi="Verdana" w:cs="Times New Roman"/>
                <w:b/>
                <w:bCs/>
                <w:color w:val="000000"/>
                <w:sz w:val="20"/>
                <w:szCs w:val="20"/>
                <w:lang w:eastAsia="en-GB"/>
              </w:rPr>
              <w:t>% of Resolutions</w:t>
            </w:r>
          </w:p>
        </w:tc>
      </w:tr>
      <w:tr w:rsidR="00817C88" w:rsidTr="00757C45">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For</w:t>
            </w:r>
          </w:p>
        </w:tc>
        <w:tc>
          <w:tcPr>
            <w:tcW w:w="1880"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162</w:t>
            </w:r>
          </w:p>
        </w:tc>
        <w:tc>
          <w:tcPr>
            <w:tcW w:w="1294"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60%</w:t>
            </w:r>
          </w:p>
        </w:tc>
      </w:tr>
      <w:tr w:rsidR="00817C88" w:rsidTr="00757C45">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Oppose</w:t>
            </w:r>
          </w:p>
        </w:tc>
        <w:tc>
          <w:tcPr>
            <w:tcW w:w="1880"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86</w:t>
            </w:r>
          </w:p>
        </w:tc>
        <w:tc>
          <w:tcPr>
            <w:tcW w:w="1294"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32%</w:t>
            </w:r>
          </w:p>
        </w:tc>
      </w:tr>
      <w:tr w:rsidR="00817C88" w:rsidTr="00757C45">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Abstain</w:t>
            </w:r>
          </w:p>
        </w:tc>
        <w:tc>
          <w:tcPr>
            <w:tcW w:w="1880"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20</w:t>
            </w:r>
          </w:p>
        </w:tc>
        <w:tc>
          <w:tcPr>
            <w:tcW w:w="1294"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7%</w:t>
            </w:r>
          </w:p>
        </w:tc>
      </w:tr>
      <w:tr w:rsidR="00817C88" w:rsidTr="00757C45">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Withhold</w:t>
            </w:r>
          </w:p>
        </w:tc>
        <w:tc>
          <w:tcPr>
            <w:tcW w:w="1880"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w:t>
            </w:r>
          </w:p>
        </w:tc>
        <w:tc>
          <w:tcPr>
            <w:tcW w:w="1294"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0%</w:t>
            </w:r>
          </w:p>
        </w:tc>
      </w:tr>
      <w:tr w:rsidR="00817C88" w:rsidTr="00757C45">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Non-Voting</w:t>
            </w:r>
          </w:p>
        </w:tc>
        <w:tc>
          <w:tcPr>
            <w:tcW w:w="1880"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w:t>
            </w:r>
          </w:p>
        </w:tc>
        <w:tc>
          <w:tcPr>
            <w:tcW w:w="1294"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w:t>
            </w:r>
          </w:p>
        </w:tc>
      </w:tr>
      <w:tr w:rsidR="00817C88" w:rsidTr="00757C45">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rPr>
                <w:rFonts w:ascii="Verdana" w:eastAsia="Times New Roman" w:hAnsi="Verdana" w:cs="Times New Roman"/>
                <w:b/>
                <w:bCs/>
                <w:color w:val="000000"/>
                <w:sz w:val="20"/>
                <w:szCs w:val="20"/>
                <w:lang w:eastAsia="en-GB"/>
              </w:rPr>
            </w:pPr>
            <w:r w:rsidRPr="00F23661">
              <w:rPr>
                <w:rFonts w:ascii="Verdana" w:eastAsia="Times New Roman" w:hAnsi="Verdana" w:cs="Times New Roman"/>
                <w:b/>
                <w:bCs/>
                <w:color w:val="000000"/>
                <w:sz w:val="20"/>
                <w:szCs w:val="20"/>
                <w:lang w:eastAsia="en-GB"/>
              </w:rPr>
              <w:t>Total</w:t>
            </w:r>
          </w:p>
        </w:tc>
        <w:tc>
          <w:tcPr>
            <w:tcW w:w="1880"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3"/>
              <w:jc w:val="right"/>
              <w:rPr>
                <w:rFonts w:ascii="Verdana" w:eastAsia="Times New Roman" w:hAnsi="Verdana" w:cs="Times New Roman"/>
                <w:b/>
                <w:bCs/>
                <w:color w:val="000000"/>
                <w:sz w:val="20"/>
                <w:szCs w:val="20"/>
                <w:lang w:eastAsia="en-GB"/>
              </w:rPr>
            </w:pPr>
            <w:r w:rsidRPr="00F23661">
              <w:rPr>
                <w:rFonts w:ascii="Verdana" w:eastAsia="Times New Roman" w:hAnsi="Verdana" w:cs="Times New Roman"/>
                <w:b/>
                <w:bCs/>
                <w:color w:val="000000"/>
                <w:sz w:val="20"/>
                <w:szCs w:val="20"/>
                <w:lang w:eastAsia="en-GB"/>
              </w:rPr>
              <w:t>271</w:t>
            </w:r>
          </w:p>
        </w:tc>
        <w:tc>
          <w:tcPr>
            <w:tcW w:w="1294" w:type="dxa"/>
            <w:tcBorders>
              <w:top w:val="nil"/>
              <w:left w:val="nil"/>
              <w:bottom w:val="single" w:sz="4" w:space="0" w:color="auto"/>
              <w:right w:val="single" w:sz="4" w:space="0" w:color="auto"/>
            </w:tcBorders>
            <w:shd w:val="clear" w:color="auto" w:fill="auto"/>
            <w:noWrap/>
            <w:vAlign w:val="bottom"/>
            <w:hideMark/>
          </w:tcPr>
          <w:p w:rsidR="00757C45" w:rsidRPr="00F23661" w:rsidRDefault="0070520C" w:rsidP="00757C45">
            <w:pPr>
              <w:spacing w:after="0" w:line="240" w:lineRule="auto"/>
              <w:ind w:firstLineChars="400" w:firstLine="803"/>
              <w:jc w:val="right"/>
              <w:rPr>
                <w:rFonts w:ascii="Verdana" w:eastAsia="Times New Roman" w:hAnsi="Verdana" w:cs="Times New Roman"/>
                <w:b/>
                <w:bCs/>
                <w:color w:val="000000"/>
                <w:sz w:val="20"/>
                <w:szCs w:val="20"/>
                <w:lang w:eastAsia="en-GB"/>
              </w:rPr>
            </w:pPr>
            <w:r w:rsidRPr="00F23661">
              <w:rPr>
                <w:rFonts w:ascii="Verdana" w:eastAsia="Times New Roman" w:hAnsi="Verdana" w:cs="Times New Roman"/>
                <w:b/>
                <w:bCs/>
                <w:color w:val="000000"/>
                <w:sz w:val="20"/>
                <w:szCs w:val="20"/>
                <w:lang w:eastAsia="en-GB"/>
              </w:rPr>
              <w:t>100%</w:t>
            </w:r>
          </w:p>
        </w:tc>
      </w:tr>
    </w:tbl>
    <w:p w:rsidR="00757C45" w:rsidRPr="00F23661" w:rsidRDefault="0070520C" w:rsidP="00197BA3">
      <w:pPr>
        <w:widowControl w:val="0"/>
        <w:spacing w:after="0"/>
        <w:outlineLvl w:val="0"/>
        <w:rPr>
          <w:rFonts w:ascii="Verdana" w:hAnsi="Verdana"/>
          <w:color w:val="183850" w:themeColor="text1"/>
          <w:sz w:val="20"/>
          <w:szCs w:val="20"/>
          <w:highlight w:val="yellow"/>
        </w:rPr>
      </w:pPr>
    </w:p>
    <w:p w:rsidR="00E71965" w:rsidRPr="00F23661" w:rsidRDefault="0070520C" w:rsidP="00197BA3">
      <w:pPr>
        <w:widowControl w:val="0"/>
        <w:spacing w:after="0"/>
        <w:outlineLvl w:val="0"/>
        <w:rPr>
          <w:rFonts w:ascii="Verdana" w:hAnsi="Verdana" w:cs="NimbusSanL-Regu"/>
          <w:sz w:val="20"/>
          <w:szCs w:val="20"/>
        </w:rPr>
      </w:pPr>
      <w:r w:rsidRPr="00F23661">
        <w:rPr>
          <w:rFonts w:ascii="Verdana" w:hAnsi="Verdana"/>
          <w:sz w:val="20"/>
          <w:szCs w:val="20"/>
        </w:rPr>
        <w:t xml:space="preserve">There were no cases where the Fund was entitled to vote but did not submit a ballot. The </w:t>
      </w:r>
      <w:r w:rsidRPr="00F23661">
        <w:rPr>
          <w:rFonts w:ascii="Verdana" w:hAnsi="Verdana"/>
          <w:bCs/>
          <w:sz w:val="20"/>
          <w:szCs w:val="20"/>
        </w:rPr>
        <w:t>2 resolutions</w:t>
      </w:r>
      <w:r w:rsidRPr="00F23661">
        <w:rPr>
          <w:rFonts w:ascii="Verdana" w:hAnsi="Verdana"/>
          <w:bCs/>
          <w:sz w:val="20"/>
          <w:szCs w:val="20"/>
        </w:rPr>
        <w:t xml:space="preserve"> </w:t>
      </w:r>
      <w:r w:rsidRPr="00F23661">
        <w:rPr>
          <w:rFonts w:ascii="Verdana" w:hAnsi="Verdana"/>
          <w:bCs/>
          <w:sz w:val="20"/>
          <w:szCs w:val="20"/>
        </w:rPr>
        <w:t xml:space="preserve">reported as </w:t>
      </w:r>
      <w:r w:rsidRPr="00F23661">
        <w:rPr>
          <w:rFonts w:ascii="Verdana" w:hAnsi="Verdana"/>
          <w:bCs/>
          <w:sz w:val="20"/>
          <w:szCs w:val="20"/>
        </w:rPr>
        <w:t>no</w:t>
      </w:r>
      <w:r w:rsidRPr="00F23661">
        <w:rPr>
          <w:rFonts w:ascii="Verdana" w:hAnsi="Verdana"/>
          <w:bCs/>
          <w:sz w:val="20"/>
          <w:szCs w:val="20"/>
        </w:rPr>
        <w:t>n-vot</w:t>
      </w:r>
      <w:r w:rsidRPr="00F23661">
        <w:rPr>
          <w:rFonts w:ascii="Verdana" w:hAnsi="Verdana"/>
          <w:bCs/>
          <w:sz w:val="20"/>
          <w:szCs w:val="20"/>
        </w:rPr>
        <w:t>ing</w:t>
      </w:r>
      <w:r w:rsidRPr="00F23661">
        <w:rPr>
          <w:rFonts w:ascii="Verdana" w:hAnsi="Verdana"/>
          <w:bCs/>
          <w:sz w:val="20"/>
          <w:szCs w:val="20"/>
        </w:rPr>
        <w:t xml:space="preserve"> were at </w:t>
      </w:r>
      <w:r w:rsidRPr="00F23661">
        <w:rPr>
          <w:rFonts w:ascii="Verdana" w:hAnsi="Verdana" w:cs="NimbusSanL-Regu"/>
          <w:sz w:val="20"/>
          <w:szCs w:val="20"/>
        </w:rPr>
        <w:t>ASX LTD and related to reports presented for information where there was no requirement for shareholders to give approval.</w:t>
      </w:r>
    </w:p>
    <w:p w:rsidR="002639DA" w:rsidRPr="00F23661" w:rsidRDefault="0070520C" w:rsidP="00197BA3">
      <w:pPr>
        <w:widowControl w:val="0"/>
        <w:spacing w:after="0"/>
        <w:outlineLvl w:val="0"/>
        <w:rPr>
          <w:rFonts w:ascii="Verdana" w:hAnsi="Verdana"/>
          <w:bCs/>
          <w:sz w:val="20"/>
          <w:szCs w:val="20"/>
        </w:rPr>
      </w:pPr>
      <w:r w:rsidRPr="00F23661">
        <w:rPr>
          <w:rFonts w:ascii="Verdana" w:hAnsi="Verdana"/>
          <w:bCs/>
          <w:sz w:val="20"/>
          <w:szCs w:val="20"/>
        </w:rPr>
        <w:t xml:space="preserve"> </w:t>
      </w:r>
    </w:p>
    <w:p w:rsidR="00197BA3" w:rsidRPr="00F23661" w:rsidRDefault="0070520C" w:rsidP="00197BA3">
      <w:pPr>
        <w:widowControl w:val="0"/>
        <w:spacing w:after="0"/>
        <w:outlineLvl w:val="0"/>
        <w:rPr>
          <w:rFonts w:ascii="Verdana" w:hAnsi="Verdana"/>
          <w:bCs/>
          <w:sz w:val="20"/>
          <w:szCs w:val="20"/>
        </w:rPr>
      </w:pPr>
      <w:r w:rsidRPr="00F23661">
        <w:rPr>
          <w:rFonts w:ascii="Verdana" w:hAnsi="Verdana"/>
          <w:bCs/>
          <w:sz w:val="20"/>
          <w:szCs w:val="20"/>
        </w:rPr>
        <w:t>PIRC ap</w:t>
      </w:r>
      <w:r w:rsidRPr="00F23661">
        <w:rPr>
          <w:rFonts w:ascii="Verdana" w:hAnsi="Verdana"/>
          <w:bCs/>
          <w:sz w:val="20"/>
          <w:szCs w:val="20"/>
        </w:rPr>
        <w:t>ply</w:t>
      </w:r>
      <w:r w:rsidRPr="00F23661">
        <w:rPr>
          <w:rFonts w:ascii="Verdana" w:hAnsi="Verdana"/>
          <w:bCs/>
          <w:sz w:val="20"/>
          <w:szCs w:val="20"/>
        </w:rPr>
        <w:t xml:space="preserve"> a</w:t>
      </w:r>
      <w:r w:rsidRPr="00F23661">
        <w:rPr>
          <w:rFonts w:ascii="Verdana" w:hAnsi="Verdana"/>
          <w:bCs/>
          <w:sz w:val="20"/>
          <w:szCs w:val="20"/>
        </w:rPr>
        <w:t xml:space="preserve"> voting policy </w:t>
      </w:r>
      <w:r w:rsidRPr="00F23661">
        <w:rPr>
          <w:rFonts w:ascii="Verdana" w:hAnsi="Verdana"/>
          <w:bCs/>
          <w:sz w:val="20"/>
          <w:szCs w:val="20"/>
        </w:rPr>
        <w:t xml:space="preserve">on LCPF's behalf </w:t>
      </w:r>
      <w:r w:rsidRPr="00F23661">
        <w:rPr>
          <w:rFonts w:ascii="Verdana" w:hAnsi="Verdana"/>
          <w:bCs/>
          <w:sz w:val="20"/>
          <w:szCs w:val="20"/>
        </w:rPr>
        <w:t xml:space="preserve">which </w:t>
      </w:r>
      <w:r w:rsidRPr="00F23661">
        <w:rPr>
          <w:rFonts w:ascii="Verdana" w:hAnsi="Verdana"/>
          <w:bCs/>
          <w:sz w:val="20"/>
          <w:szCs w:val="20"/>
        </w:rPr>
        <w:t>reflects Corporate Governance best practice</w:t>
      </w:r>
      <w:r w:rsidRPr="00F23661">
        <w:rPr>
          <w:rFonts w:ascii="Verdana" w:hAnsi="Verdana"/>
          <w:bCs/>
          <w:sz w:val="20"/>
          <w:szCs w:val="20"/>
        </w:rPr>
        <w:t xml:space="preserve"> and oppose</w:t>
      </w:r>
      <w:r w:rsidRPr="00F23661">
        <w:rPr>
          <w:rFonts w:ascii="Verdana" w:hAnsi="Verdana"/>
          <w:bCs/>
          <w:sz w:val="20"/>
          <w:szCs w:val="20"/>
        </w:rPr>
        <w:t>s</w:t>
      </w:r>
      <w:r w:rsidRPr="00F23661">
        <w:rPr>
          <w:rFonts w:ascii="Verdana" w:hAnsi="Verdana"/>
          <w:bCs/>
          <w:sz w:val="20"/>
          <w:szCs w:val="20"/>
        </w:rPr>
        <w:t xml:space="preserve"> or abstain</w:t>
      </w:r>
      <w:r w:rsidRPr="00F23661">
        <w:rPr>
          <w:rFonts w:ascii="Verdana" w:hAnsi="Verdana"/>
          <w:bCs/>
          <w:sz w:val="20"/>
          <w:szCs w:val="20"/>
        </w:rPr>
        <w:t>s</w:t>
      </w:r>
      <w:r w:rsidRPr="00F23661">
        <w:rPr>
          <w:rFonts w:ascii="Verdana" w:hAnsi="Verdana"/>
          <w:bCs/>
          <w:sz w:val="20"/>
          <w:szCs w:val="20"/>
        </w:rPr>
        <w:t xml:space="preserve"> where </w:t>
      </w:r>
      <w:r w:rsidRPr="00F23661">
        <w:rPr>
          <w:rFonts w:ascii="Verdana" w:hAnsi="Verdana"/>
          <w:bCs/>
          <w:sz w:val="20"/>
          <w:szCs w:val="20"/>
        </w:rPr>
        <w:t>r</w:t>
      </w:r>
      <w:r w:rsidRPr="00F23661">
        <w:rPr>
          <w:rFonts w:ascii="Verdana" w:hAnsi="Verdana"/>
          <w:bCs/>
          <w:sz w:val="20"/>
          <w:szCs w:val="20"/>
        </w:rPr>
        <w:t xml:space="preserve">esolutions </w:t>
      </w:r>
      <w:r w:rsidRPr="00F23661">
        <w:rPr>
          <w:rFonts w:ascii="Verdana" w:hAnsi="Verdana"/>
          <w:bCs/>
          <w:sz w:val="20"/>
          <w:szCs w:val="20"/>
        </w:rPr>
        <w:t xml:space="preserve">are </w:t>
      </w:r>
      <w:r w:rsidRPr="00F23661">
        <w:rPr>
          <w:rFonts w:ascii="Verdana" w:hAnsi="Verdana"/>
          <w:bCs/>
          <w:sz w:val="20"/>
          <w:szCs w:val="20"/>
        </w:rPr>
        <w:t xml:space="preserve">judged </w:t>
      </w:r>
      <w:r w:rsidRPr="00F23661">
        <w:rPr>
          <w:rFonts w:ascii="Verdana" w:hAnsi="Verdana"/>
          <w:bCs/>
          <w:sz w:val="20"/>
          <w:szCs w:val="20"/>
        </w:rPr>
        <w:t xml:space="preserve">not </w:t>
      </w:r>
      <w:r w:rsidRPr="00F23661">
        <w:rPr>
          <w:rFonts w:ascii="Verdana" w:hAnsi="Verdana"/>
          <w:bCs/>
          <w:sz w:val="20"/>
          <w:szCs w:val="20"/>
        </w:rPr>
        <w:t xml:space="preserve">to be in the long term best interests </w:t>
      </w:r>
      <w:r w:rsidRPr="00F23661">
        <w:rPr>
          <w:rFonts w:ascii="Verdana" w:hAnsi="Verdana"/>
          <w:bCs/>
          <w:sz w:val="20"/>
          <w:szCs w:val="20"/>
        </w:rPr>
        <w:t xml:space="preserve">of shareholders. </w:t>
      </w:r>
      <w:r w:rsidRPr="00F23661">
        <w:rPr>
          <w:rFonts w:ascii="Verdana" w:hAnsi="Verdana"/>
          <w:bCs/>
          <w:sz w:val="20"/>
          <w:szCs w:val="20"/>
        </w:rPr>
        <w:t xml:space="preserve">The Fund supported more than half (60%) of the </w:t>
      </w:r>
      <w:r w:rsidRPr="00F23661">
        <w:rPr>
          <w:rFonts w:ascii="Verdana" w:hAnsi="Verdana"/>
          <w:bCs/>
          <w:sz w:val="20"/>
          <w:szCs w:val="20"/>
        </w:rPr>
        <w:t>r</w:t>
      </w:r>
      <w:r w:rsidRPr="00F23661">
        <w:rPr>
          <w:rFonts w:ascii="Verdana" w:hAnsi="Verdana"/>
          <w:bCs/>
          <w:sz w:val="20"/>
          <w:szCs w:val="20"/>
        </w:rPr>
        <w:t>esolutions tabled</w:t>
      </w:r>
      <w:r w:rsidRPr="00F23661">
        <w:rPr>
          <w:rFonts w:ascii="Verdana" w:hAnsi="Verdana"/>
          <w:bCs/>
          <w:sz w:val="20"/>
          <w:szCs w:val="20"/>
        </w:rPr>
        <w:t xml:space="preserve"> in the quarter; o</w:t>
      </w:r>
      <w:r w:rsidRPr="00F23661">
        <w:rPr>
          <w:rFonts w:ascii="Verdana" w:hAnsi="Verdana"/>
          <w:bCs/>
          <w:sz w:val="20"/>
          <w:szCs w:val="20"/>
        </w:rPr>
        <w:t>pposition voting</w:t>
      </w:r>
      <w:r w:rsidRPr="00F23661">
        <w:rPr>
          <w:rFonts w:ascii="Verdana" w:hAnsi="Verdana"/>
          <w:bCs/>
          <w:sz w:val="20"/>
          <w:szCs w:val="20"/>
        </w:rPr>
        <w:t xml:space="preserve"> </w:t>
      </w:r>
      <w:r w:rsidRPr="00F23661">
        <w:rPr>
          <w:rFonts w:ascii="Verdana" w:hAnsi="Verdana"/>
          <w:bCs/>
          <w:sz w:val="20"/>
          <w:szCs w:val="20"/>
        </w:rPr>
        <w:t>concentrated upon</w:t>
      </w:r>
      <w:r w:rsidRPr="00F23661">
        <w:rPr>
          <w:rFonts w:ascii="Verdana" w:hAnsi="Verdana"/>
          <w:bCs/>
          <w:sz w:val="20"/>
          <w:szCs w:val="20"/>
        </w:rPr>
        <w:t xml:space="preserve"> the following matters:</w:t>
      </w:r>
    </w:p>
    <w:p w:rsidR="004E3EBA" w:rsidRPr="00F23661" w:rsidRDefault="0070520C" w:rsidP="00220A9C">
      <w:pPr>
        <w:pStyle w:val="ListParagraph"/>
        <w:widowControl w:val="0"/>
        <w:numPr>
          <w:ilvl w:val="3"/>
          <w:numId w:val="2"/>
        </w:numPr>
        <w:spacing w:after="0"/>
        <w:ind w:left="709" w:hanging="709"/>
        <w:outlineLvl w:val="0"/>
        <w:rPr>
          <w:rFonts w:ascii="Verdana" w:hAnsi="Verdana"/>
          <w:bCs/>
          <w:sz w:val="20"/>
          <w:szCs w:val="20"/>
        </w:rPr>
      </w:pPr>
      <w:r w:rsidRPr="00F23661">
        <w:rPr>
          <w:rFonts w:ascii="Verdana" w:hAnsi="Verdana"/>
          <w:bCs/>
          <w:sz w:val="20"/>
          <w:szCs w:val="20"/>
        </w:rPr>
        <w:t>CE</w:t>
      </w:r>
      <w:r w:rsidRPr="00F23661">
        <w:rPr>
          <w:rFonts w:ascii="Verdana" w:hAnsi="Verdana"/>
          <w:bCs/>
          <w:sz w:val="20"/>
          <w:szCs w:val="20"/>
        </w:rPr>
        <w:t>O</w:t>
      </w:r>
      <w:r w:rsidRPr="00F23661">
        <w:rPr>
          <w:rFonts w:ascii="Verdana" w:hAnsi="Verdana"/>
          <w:bCs/>
          <w:sz w:val="20"/>
          <w:szCs w:val="20"/>
        </w:rPr>
        <w:t xml:space="preserve"> and Chairman of the Board responsibilities </w:t>
      </w:r>
      <w:r w:rsidRPr="00F23661">
        <w:rPr>
          <w:rFonts w:ascii="Verdana" w:hAnsi="Verdana"/>
          <w:bCs/>
          <w:sz w:val="20"/>
          <w:szCs w:val="20"/>
        </w:rPr>
        <w:t xml:space="preserve">being </w:t>
      </w:r>
      <w:r w:rsidRPr="00F23661">
        <w:rPr>
          <w:rFonts w:ascii="Verdana" w:hAnsi="Verdana"/>
          <w:bCs/>
          <w:sz w:val="20"/>
          <w:szCs w:val="20"/>
        </w:rPr>
        <w:t xml:space="preserve">combined in a single role; </w:t>
      </w:r>
    </w:p>
    <w:p w:rsidR="00A2542F" w:rsidRPr="00F23661" w:rsidRDefault="0070520C" w:rsidP="00220A9C">
      <w:pPr>
        <w:pStyle w:val="ListParagraph"/>
        <w:widowControl w:val="0"/>
        <w:numPr>
          <w:ilvl w:val="3"/>
          <w:numId w:val="2"/>
        </w:numPr>
        <w:spacing w:after="0"/>
        <w:ind w:left="709" w:hanging="709"/>
        <w:outlineLvl w:val="0"/>
        <w:rPr>
          <w:rFonts w:ascii="Verdana" w:hAnsi="Verdana"/>
          <w:bCs/>
          <w:sz w:val="20"/>
          <w:szCs w:val="20"/>
        </w:rPr>
      </w:pPr>
      <w:r w:rsidRPr="00F23661">
        <w:rPr>
          <w:rFonts w:ascii="Verdana" w:hAnsi="Verdana"/>
          <w:bCs/>
          <w:sz w:val="20"/>
          <w:szCs w:val="20"/>
        </w:rPr>
        <w:t>the appointment of NEDs known to be fulfilling multiple other directorships;</w:t>
      </w:r>
    </w:p>
    <w:p w:rsidR="00A06343" w:rsidRPr="00F23661" w:rsidRDefault="0070520C" w:rsidP="00220A9C">
      <w:pPr>
        <w:pStyle w:val="ListParagraph"/>
        <w:widowControl w:val="0"/>
        <w:numPr>
          <w:ilvl w:val="0"/>
          <w:numId w:val="2"/>
        </w:numPr>
        <w:spacing w:after="0" w:line="240" w:lineRule="auto"/>
        <w:ind w:left="709" w:hanging="709"/>
        <w:contextualSpacing w:val="0"/>
        <w:outlineLvl w:val="0"/>
        <w:rPr>
          <w:rFonts w:ascii="Verdana" w:hAnsi="Verdana"/>
          <w:bCs/>
          <w:sz w:val="20"/>
          <w:szCs w:val="20"/>
        </w:rPr>
      </w:pPr>
      <w:r w:rsidRPr="00F23661">
        <w:rPr>
          <w:rFonts w:ascii="Verdana" w:hAnsi="Verdana"/>
          <w:bCs/>
          <w:sz w:val="20"/>
          <w:szCs w:val="20"/>
        </w:rPr>
        <w:t xml:space="preserve">Non-Executive Director (NED) nominees lacking independence through </w:t>
      </w:r>
      <w:r w:rsidRPr="00F23661">
        <w:rPr>
          <w:rFonts w:ascii="Verdana" w:hAnsi="Verdana"/>
          <w:bCs/>
          <w:sz w:val="20"/>
          <w:szCs w:val="20"/>
        </w:rPr>
        <w:t xml:space="preserve">their </w:t>
      </w:r>
      <w:r w:rsidRPr="00F23661">
        <w:rPr>
          <w:rFonts w:ascii="Verdana" w:hAnsi="Verdana"/>
          <w:bCs/>
          <w:sz w:val="20"/>
          <w:szCs w:val="20"/>
        </w:rPr>
        <w:t>length of tenure</w:t>
      </w:r>
      <w:r w:rsidRPr="00F23661">
        <w:rPr>
          <w:rFonts w:ascii="Verdana" w:hAnsi="Verdana"/>
          <w:bCs/>
          <w:sz w:val="20"/>
          <w:szCs w:val="20"/>
        </w:rPr>
        <w:t xml:space="preserve"> or </w:t>
      </w:r>
      <w:r w:rsidRPr="00F23661">
        <w:rPr>
          <w:rFonts w:ascii="Verdana" w:hAnsi="Verdana"/>
          <w:bCs/>
          <w:sz w:val="20"/>
          <w:szCs w:val="20"/>
        </w:rPr>
        <w:t xml:space="preserve">other </w:t>
      </w:r>
      <w:r w:rsidRPr="00F23661">
        <w:rPr>
          <w:rFonts w:ascii="Verdana" w:hAnsi="Verdana"/>
          <w:bCs/>
          <w:sz w:val="20"/>
          <w:szCs w:val="20"/>
        </w:rPr>
        <w:t>conflict</w:t>
      </w:r>
      <w:r w:rsidRPr="00F23661">
        <w:rPr>
          <w:rFonts w:ascii="Verdana" w:hAnsi="Verdana"/>
          <w:bCs/>
          <w:sz w:val="20"/>
          <w:szCs w:val="20"/>
        </w:rPr>
        <w:t>s of interest</w:t>
      </w:r>
      <w:r w:rsidRPr="00F23661">
        <w:rPr>
          <w:rFonts w:ascii="Verdana" w:hAnsi="Verdana"/>
          <w:bCs/>
          <w:sz w:val="20"/>
          <w:szCs w:val="20"/>
        </w:rPr>
        <w:t>;</w:t>
      </w:r>
    </w:p>
    <w:p w:rsidR="0076289C" w:rsidRPr="00F23661" w:rsidRDefault="0070520C" w:rsidP="00220A9C">
      <w:pPr>
        <w:pStyle w:val="ListParagraph"/>
        <w:widowControl w:val="0"/>
        <w:numPr>
          <w:ilvl w:val="0"/>
          <w:numId w:val="2"/>
        </w:numPr>
        <w:spacing w:after="0" w:line="240" w:lineRule="auto"/>
        <w:ind w:left="709" w:hanging="709"/>
        <w:contextualSpacing w:val="0"/>
        <w:outlineLvl w:val="0"/>
        <w:rPr>
          <w:rFonts w:ascii="Verdana" w:hAnsi="Verdana"/>
          <w:bCs/>
          <w:sz w:val="20"/>
          <w:szCs w:val="20"/>
        </w:rPr>
      </w:pPr>
      <w:r w:rsidRPr="00F23661">
        <w:rPr>
          <w:rFonts w:ascii="Verdana" w:hAnsi="Verdana"/>
          <w:bCs/>
          <w:sz w:val="20"/>
          <w:szCs w:val="20"/>
        </w:rPr>
        <w:t>Re-election of the Chair of the Nomination Committee where there are no targets for board diversity including gender diversity</w:t>
      </w:r>
      <w:r w:rsidRPr="00F23661">
        <w:rPr>
          <w:rFonts w:ascii="Verdana" w:hAnsi="Verdana"/>
          <w:bCs/>
          <w:sz w:val="20"/>
          <w:szCs w:val="20"/>
        </w:rPr>
        <w:t>;</w:t>
      </w:r>
    </w:p>
    <w:p w:rsidR="00197BA3" w:rsidRPr="00F23661" w:rsidRDefault="0070520C" w:rsidP="00220A9C">
      <w:pPr>
        <w:pStyle w:val="ListParagraph"/>
        <w:widowControl w:val="0"/>
        <w:numPr>
          <w:ilvl w:val="0"/>
          <w:numId w:val="2"/>
        </w:numPr>
        <w:spacing w:after="0" w:line="240" w:lineRule="auto"/>
        <w:ind w:left="709" w:hanging="709"/>
        <w:contextualSpacing w:val="0"/>
        <w:outlineLvl w:val="0"/>
        <w:rPr>
          <w:rFonts w:ascii="Verdana" w:hAnsi="Verdana"/>
          <w:bCs/>
          <w:sz w:val="20"/>
          <w:szCs w:val="20"/>
        </w:rPr>
      </w:pPr>
      <w:r w:rsidRPr="00F23661">
        <w:rPr>
          <w:rFonts w:ascii="Verdana" w:hAnsi="Verdana"/>
          <w:bCs/>
          <w:sz w:val="20"/>
          <w:szCs w:val="20"/>
        </w:rPr>
        <w:t>execut</w:t>
      </w:r>
      <w:r w:rsidRPr="00F23661">
        <w:rPr>
          <w:rFonts w:ascii="Verdana" w:hAnsi="Verdana"/>
          <w:bCs/>
          <w:sz w:val="20"/>
          <w:szCs w:val="20"/>
        </w:rPr>
        <w:t>ive remuneration</w:t>
      </w:r>
      <w:r w:rsidRPr="00F23661">
        <w:rPr>
          <w:rFonts w:ascii="Verdana" w:hAnsi="Verdana"/>
          <w:bCs/>
          <w:sz w:val="20"/>
          <w:szCs w:val="20"/>
        </w:rPr>
        <w:t xml:space="preserve"> arrangements</w:t>
      </w:r>
      <w:r w:rsidRPr="00F23661">
        <w:rPr>
          <w:rFonts w:ascii="Verdana" w:hAnsi="Verdana"/>
          <w:bCs/>
          <w:sz w:val="20"/>
          <w:szCs w:val="20"/>
        </w:rPr>
        <w:t xml:space="preserve"> </w:t>
      </w:r>
      <w:r w:rsidRPr="00F23661">
        <w:rPr>
          <w:rFonts w:ascii="Verdana" w:hAnsi="Verdana"/>
          <w:bCs/>
          <w:sz w:val="20"/>
          <w:szCs w:val="20"/>
        </w:rPr>
        <w:t>lacking</w:t>
      </w:r>
      <w:r w:rsidRPr="00F23661">
        <w:rPr>
          <w:rFonts w:ascii="Verdana" w:hAnsi="Verdana"/>
          <w:bCs/>
          <w:sz w:val="20"/>
          <w:szCs w:val="20"/>
        </w:rPr>
        <w:t xml:space="preserve"> adequate checks on excessive pay </w:t>
      </w:r>
      <w:r w:rsidRPr="00F23661">
        <w:rPr>
          <w:rFonts w:ascii="Verdana" w:hAnsi="Verdana"/>
          <w:bCs/>
          <w:sz w:val="20"/>
          <w:szCs w:val="20"/>
        </w:rPr>
        <w:t xml:space="preserve">levels </w:t>
      </w:r>
      <w:r w:rsidRPr="00F23661">
        <w:rPr>
          <w:rFonts w:ascii="Verdana" w:hAnsi="Verdana"/>
          <w:bCs/>
          <w:sz w:val="20"/>
          <w:szCs w:val="20"/>
        </w:rPr>
        <w:t>and/</w:t>
      </w:r>
      <w:r w:rsidRPr="00F23661">
        <w:rPr>
          <w:rFonts w:ascii="Verdana" w:hAnsi="Verdana"/>
          <w:bCs/>
          <w:sz w:val="20"/>
          <w:szCs w:val="20"/>
        </w:rPr>
        <w:t>or</w:t>
      </w:r>
      <w:r w:rsidRPr="00F23661">
        <w:rPr>
          <w:rFonts w:ascii="Verdana" w:hAnsi="Verdana"/>
          <w:bCs/>
          <w:sz w:val="20"/>
          <w:szCs w:val="20"/>
        </w:rPr>
        <w:t xml:space="preserve"> </w:t>
      </w:r>
      <w:r w:rsidRPr="00F23661">
        <w:rPr>
          <w:rFonts w:ascii="Verdana" w:hAnsi="Verdana"/>
          <w:bCs/>
          <w:sz w:val="20"/>
          <w:szCs w:val="20"/>
        </w:rPr>
        <w:t>performance measures</w:t>
      </w:r>
      <w:r w:rsidRPr="00F23661">
        <w:rPr>
          <w:rFonts w:ascii="Verdana" w:hAnsi="Verdana"/>
          <w:bCs/>
          <w:sz w:val="20"/>
          <w:szCs w:val="20"/>
        </w:rPr>
        <w:t xml:space="preserve"> clearly </w:t>
      </w:r>
      <w:r w:rsidRPr="00F23661">
        <w:rPr>
          <w:rFonts w:ascii="Verdana" w:hAnsi="Verdana"/>
          <w:bCs/>
          <w:sz w:val="20"/>
          <w:szCs w:val="20"/>
        </w:rPr>
        <w:t>aligned with shareholder interests</w:t>
      </w:r>
      <w:r w:rsidRPr="00F23661">
        <w:rPr>
          <w:rFonts w:ascii="Verdana" w:hAnsi="Verdana"/>
          <w:bCs/>
          <w:sz w:val="20"/>
          <w:szCs w:val="20"/>
        </w:rPr>
        <w:t>;</w:t>
      </w:r>
    </w:p>
    <w:p w:rsidR="00A2542F" w:rsidRPr="00F23661" w:rsidRDefault="0070520C" w:rsidP="00220A9C">
      <w:pPr>
        <w:pStyle w:val="ListParagraph"/>
        <w:widowControl w:val="0"/>
        <w:numPr>
          <w:ilvl w:val="0"/>
          <w:numId w:val="2"/>
        </w:numPr>
        <w:spacing w:after="0" w:line="240" w:lineRule="auto"/>
        <w:ind w:left="709" w:hanging="709"/>
        <w:contextualSpacing w:val="0"/>
        <w:outlineLvl w:val="0"/>
        <w:rPr>
          <w:rFonts w:ascii="Verdana" w:hAnsi="Verdana"/>
          <w:bCs/>
          <w:color w:val="183850" w:themeColor="text1"/>
          <w:sz w:val="20"/>
          <w:szCs w:val="20"/>
        </w:rPr>
      </w:pPr>
      <w:r w:rsidRPr="00F23661">
        <w:rPr>
          <w:rFonts w:ascii="Verdana" w:hAnsi="Verdana"/>
          <w:bCs/>
          <w:sz w:val="20"/>
          <w:szCs w:val="20"/>
        </w:rPr>
        <w:t xml:space="preserve">remuneration arrangements which grant share options to NEDs (and risk </w:t>
      </w:r>
      <w:r w:rsidRPr="00F23661">
        <w:rPr>
          <w:rFonts w:ascii="Verdana" w:hAnsi="Verdana"/>
          <w:bCs/>
          <w:color w:val="183850" w:themeColor="text1"/>
          <w:sz w:val="20"/>
          <w:szCs w:val="20"/>
        </w:rPr>
        <w:lastRenderedPageBreak/>
        <w:t>compromising their independence);</w:t>
      </w:r>
    </w:p>
    <w:p w:rsidR="00197BA3" w:rsidRPr="00F23661" w:rsidRDefault="0070520C" w:rsidP="00220A9C">
      <w:pPr>
        <w:pStyle w:val="ListParagraph"/>
        <w:widowControl w:val="0"/>
        <w:numPr>
          <w:ilvl w:val="1"/>
          <w:numId w:val="2"/>
        </w:numPr>
        <w:spacing w:after="0" w:line="240" w:lineRule="auto"/>
        <w:ind w:left="709" w:hanging="709"/>
        <w:contextualSpacing w:val="0"/>
        <w:outlineLvl w:val="0"/>
        <w:rPr>
          <w:rFonts w:ascii="Verdana" w:hAnsi="Verdana"/>
          <w:bCs/>
          <w:color w:val="183850" w:themeColor="text1"/>
          <w:sz w:val="20"/>
          <w:szCs w:val="20"/>
        </w:rPr>
      </w:pPr>
      <w:r w:rsidRPr="00F23661">
        <w:rPr>
          <w:rFonts w:ascii="Verdana" w:hAnsi="Verdana"/>
          <w:bCs/>
          <w:color w:val="183850" w:themeColor="text1"/>
          <w:sz w:val="20"/>
          <w:szCs w:val="20"/>
        </w:rPr>
        <w:t>the re-appointment of auditors</w:t>
      </w:r>
      <w:r w:rsidRPr="00F23661">
        <w:rPr>
          <w:rFonts w:ascii="Verdana" w:hAnsi="Verdana"/>
          <w:bCs/>
          <w:color w:val="183850" w:themeColor="text1"/>
          <w:sz w:val="20"/>
          <w:szCs w:val="20"/>
        </w:rPr>
        <w:t xml:space="preserve"> where </w:t>
      </w:r>
      <w:r w:rsidRPr="00F23661">
        <w:rPr>
          <w:rFonts w:ascii="Verdana" w:hAnsi="Verdana"/>
          <w:bCs/>
          <w:color w:val="183850" w:themeColor="text1"/>
          <w:sz w:val="20"/>
          <w:szCs w:val="20"/>
        </w:rPr>
        <w:t xml:space="preserve">long </w:t>
      </w:r>
      <w:r w:rsidRPr="00F23661">
        <w:rPr>
          <w:rFonts w:ascii="Verdana" w:hAnsi="Verdana"/>
          <w:bCs/>
          <w:color w:val="183850" w:themeColor="text1"/>
          <w:sz w:val="20"/>
          <w:szCs w:val="20"/>
        </w:rPr>
        <w:t>standing</w:t>
      </w:r>
      <w:r w:rsidRPr="00F23661">
        <w:rPr>
          <w:rFonts w:ascii="Verdana" w:hAnsi="Verdana"/>
          <w:bCs/>
          <w:color w:val="183850" w:themeColor="text1"/>
          <w:sz w:val="20"/>
          <w:szCs w:val="20"/>
        </w:rPr>
        <w:t xml:space="preserve"> relationships</w:t>
      </w:r>
      <w:r w:rsidRPr="00F23661">
        <w:rPr>
          <w:rFonts w:ascii="Verdana" w:hAnsi="Verdana"/>
          <w:bCs/>
          <w:color w:val="183850" w:themeColor="text1"/>
          <w:sz w:val="20"/>
          <w:szCs w:val="20"/>
        </w:rPr>
        <w:t xml:space="preserve"> or non-audit fee</w:t>
      </w:r>
      <w:r w:rsidRPr="00F23661">
        <w:rPr>
          <w:rFonts w:ascii="Verdana" w:hAnsi="Verdana"/>
          <w:bCs/>
          <w:color w:val="183850" w:themeColor="text1"/>
          <w:sz w:val="20"/>
          <w:szCs w:val="20"/>
        </w:rPr>
        <w:t xml:space="preserve"> levels poten</w:t>
      </w:r>
      <w:r w:rsidRPr="00F23661">
        <w:rPr>
          <w:rFonts w:ascii="Verdana" w:hAnsi="Verdana"/>
          <w:bCs/>
          <w:color w:val="183850" w:themeColor="text1"/>
          <w:sz w:val="20"/>
          <w:szCs w:val="20"/>
        </w:rPr>
        <w:t xml:space="preserve">tially compromise </w:t>
      </w:r>
      <w:r w:rsidRPr="00F23661">
        <w:rPr>
          <w:rFonts w:ascii="Verdana" w:hAnsi="Verdana"/>
          <w:bCs/>
          <w:color w:val="183850" w:themeColor="text1"/>
          <w:sz w:val="20"/>
          <w:szCs w:val="20"/>
        </w:rPr>
        <w:t>objectivity</w:t>
      </w:r>
      <w:r w:rsidRPr="00F23661">
        <w:rPr>
          <w:rFonts w:ascii="Verdana" w:hAnsi="Verdana"/>
          <w:bCs/>
          <w:color w:val="183850" w:themeColor="text1"/>
          <w:sz w:val="20"/>
          <w:szCs w:val="20"/>
        </w:rPr>
        <w:t>, or where the company has not disclosed the terms of the audit fee or the length of tenure</w:t>
      </w:r>
      <w:r w:rsidRPr="00F23661">
        <w:rPr>
          <w:rFonts w:ascii="Verdana" w:hAnsi="Verdana"/>
          <w:bCs/>
          <w:color w:val="183850" w:themeColor="text1"/>
          <w:sz w:val="20"/>
          <w:szCs w:val="20"/>
        </w:rPr>
        <w:t>;</w:t>
      </w:r>
    </w:p>
    <w:p w:rsidR="00A06343" w:rsidRPr="00F23661" w:rsidRDefault="0070520C" w:rsidP="00197BA3">
      <w:pPr>
        <w:widowControl w:val="0"/>
        <w:spacing w:after="0"/>
        <w:outlineLvl w:val="0"/>
        <w:rPr>
          <w:rFonts w:ascii="Verdana" w:hAnsi="Verdana"/>
          <w:bCs/>
          <w:sz w:val="20"/>
          <w:szCs w:val="20"/>
        </w:rPr>
      </w:pPr>
    </w:p>
    <w:p w:rsidR="00E06CC0" w:rsidRPr="00F23661" w:rsidRDefault="0070520C" w:rsidP="00E06CC0">
      <w:pPr>
        <w:autoSpaceDE w:val="0"/>
        <w:autoSpaceDN w:val="0"/>
        <w:adjustRightInd w:val="0"/>
        <w:spacing w:after="0" w:line="240" w:lineRule="auto"/>
        <w:rPr>
          <w:rFonts w:ascii="Verdana" w:hAnsi="Verdana" w:cs="NimbusSanL-Bold"/>
          <w:bCs/>
          <w:sz w:val="20"/>
          <w:szCs w:val="20"/>
        </w:rPr>
      </w:pPr>
      <w:r w:rsidRPr="00F23661">
        <w:rPr>
          <w:rFonts w:ascii="Verdana" w:hAnsi="Verdana" w:cs="NimbusSanL-Bold"/>
          <w:bCs/>
          <w:sz w:val="20"/>
          <w:szCs w:val="20"/>
        </w:rPr>
        <w:t xml:space="preserve">There were </w:t>
      </w:r>
      <w:r w:rsidRPr="00F23661">
        <w:rPr>
          <w:rFonts w:ascii="Verdana" w:hAnsi="Verdana" w:cs="NimbusSanL-Bold"/>
          <w:bCs/>
          <w:sz w:val="20"/>
          <w:szCs w:val="20"/>
        </w:rPr>
        <w:t xml:space="preserve">only </w:t>
      </w:r>
      <w:r w:rsidRPr="00F23661">
        <w:rPr>
          <w:rFonts w:ascii="Verdana" w:hAnsi="Verdana" w:cs="NimbusSanL-Bold"/>
          <w:bCs/>
          <w:sz w:val="20"/>
          <w:szCs w:val="20"/>
        </w:rPr>
        <w:t xml:space="preserve">2 </w:t>
      </w:r>
      <w:r w:rsidRPr="00F23661">
        <w:rPr>
          <w:rFonts w:ascii="Verdana" w:hAnsi="Verdana" w:cs="NimbusSanL-Bold"/>
          <w:bCs/>
          <w:sz w:val="20"/>
          <w:szCs w:val="20"/>
        </w:rPr>
        <w:t>shareholder r</w:t>
      </w:r>
      <w:r w:rsidRPr="00F23661">
        <w:rPr>
          <w:rFonts w:ascii="Verdana" w:hAnsi="Verdana" w:cs="NimbusSanL-Bold"/>
          <w:bCs/>
          <w:sz w:val="20"/>
          <w:szCs w:val="20"/>
        </w:rPr>
        <w:t xml:space="preserve">esolutions </w:t>
      </w:r>
      <w:r w:rsidRPr="00F23661">
        <w:rPr>
          <w:rFonts w:ascii="Verdana" w:hAnsi="Verdana" w:cs="NimbusSanL-Bold"/>
          <w:bCs/>
          <w:sz w:val="20"/>
          <w:szCs w:val="20"/>
        </w:rPr>
        <w:t>with</w:t>
      </w:r>
      <w:r w:rsidRPr="00F23661">
        <w:rPr>
          <w:rFonts w:ascii="Verdana" w:hAnsi="Verdana" w:cs="NimbusSanL-Bold"/>
          <w:bCs/>
          <w:sz w:val="20"/>
          <w:szCs w:val="20"/>
        </w:rPr>
        <w:t xml:space="preserve">in the </w:t>
      </w:r>
      <w:r>
        <w:rPr>
          <w:rFonts w:ascii="Verdana" w:hAnsi="Verdana" w:cs="NimbusSanL-Bold"/>
          <w:bCs/>
          <w:sz w:val="20"/>
          <w:szCs w:val="20"/>
        </w:rPr>
        <w:t xml:space="preserve">third </w:t>
      </w:r>
      <w:r w:rsidRPr="00F23661">
        <w:rPr>
          <w:rFonts w:ascii="Verdana" w:hAnsi="Verdana" w:cs="NimbusSanL-Bold"/>
          <w:bCs/>
          <w:sz w:val="20"/>
          <w:szCs w:val="20"/>
        </w:rPr>
        <w:t>quarter, both of which were supported by the Fund</w:t>
      </w:r>
      <w:r w:rsidRPr="00F23661">
        <w:rPr>
          <w:rFonts w:ascii="Verdana" w:hAnsi="Verdana" w:cs="NimbusSanL-Bold"/>
          <w:bCs/>
          <w:sz w:val="20"/>
          <w:szCs w:val="20"/>
        </w:rPr>
        <w:t xml:space="preserve"> as follows:</w:t>
      </w:r>
      <w:r w:rsidRPr="00F23661">
        <w:rPr>
          <w:rFonts w:ascii="Verdana" w:hAnsi="Verdana" w:cs="NimbusSanL-Bold"/>
          <w:bCs/>
          <w:sz w:val="20"/>
          <w:szCs w:val="20"/>
        </w:rPr>
        <w:t xml:space="preserve"> </w:t>
      </w:r>
    </w:p>
    <w:p w:rsidR="00A336E8" w:rsidRPr="00F23661" w:rsidRDefault="0070520C" w:rsidP="00A336E8">
      <w:pPr>
        <w:autoSpaceDE w:val="0"/>
        <w:autoSpaceDN w:val="0"/>
        <w:adjustRightInd w:val="0"/>
        <w:spacing w:after="0" w:line="240" w:lineRule="auto"/>
        <w:rPr>
          <w:rFonts w:ascii="Verdana" w:hAnsi="Verdana" w:cs="NimbusSanL-Bold"/>
          <w:bCs/>
          <w:color w:val="183850" w:themeColor="text1"/>
          <w:sz w:val="20"/>
          <w:szCs w:val="20"/>
        </w:rPr>
      </w:pPr>
    </w:p>
    <w:p w:rsidR="006F5208" w:rsidRPr="00F23661" w:rsidRDefault="0070520C" w:rsidP="00A336E8">
      <w:pPr>
        <w:autoSpaceDE w:val="0"/>
        <w:autoSpaceDN w:val="0"/>
        <w:adjustRightInd w:val="0"/>
        <w:spacing w:after="0" w:line="240" w:lineRule="auto"/>
        <w:rPr>
          <w:rFonts w:ascii="Verdana" w:hAnsi="Verdana" w:cs="NimbusSanL-Bold"/>
          <w:b/>
          <w:bCs/>
          <w:sz w:val="20"/>
          <w:szCs w:val="20"/>
        </w:rPr>
      </w:pPr>
      <w:r w:rsidRPr="00F23661">
        <w:rPr>
          <w:rFonts w:ascii="Verdana" w:hAnsi="Verdana" w:cs="NimbusSanL-Bold"/>
          <w:b/>
          <w:bCs/>
          <w:sz w:val="20"/>
          <w:szCs w:val="20"/>
        </w:rPr>
        <w:t>J.M. S</w:t>
      </w:r>
      <w:r w:rsidRPr="00F23661">
        <w:rPr>
          <w:rFonts w:ascii="Verdana" w:hAnsi="Verdana" w:cs="NimbusSanL-Bold"/>
          <w:b/>
          <w:bCs/>
          <w:sz w:val="20"/>
          <w:szCs w:val="20"/>
        </w:rPr>
        <w:t xml:space="preserve">mucker Company </w:t>
      </w:r>
      <w:r w:rsidRPr="00F23661">
        <w:rPr>
          <w:rFonts w:ascii="Verdana" w:hAnsi="Verdana" w:cs="NimbusSanL-Bold"/>
          <w:b/>
          <w:bCs/>
          <w:sz w:val="20"/>
          <w:szCs w:val="20"/>
        </w:rPr>
        <w:t xml:space="preserve">AGM - </w:t>
      </w:r>
      <w:r w:rsidRPr="00F23661">
        <w:rPr>
          <w:rFonts w:ascii="Verdana" w:hAnsi="Verdana" w:cs="NimbusSanL-ReguItal"/>
          <w:b/>
          <w:sz w:val="20"/>
          <w:szCs w:val="20"/>
        </w:rPr>
        <w:t>R</w:t>
      </w:r>
      <w:r w:rsidRPr="00F23661">
        <w:rPr>
          <w:rFonts w:ascii="Verdana" w:hAnsi="Verdana" w:cs="NimbusSanL-ReguItal"/>
          <w:b/>
          <w:sz w:val="20"/>
          <w:szCs w:val="20"/>
        </w:rPr>
        <w:t xml:space="preserve">enewable Energy Sourcing </w:t>
      </w:r>
      <w:r w:rsidRPr="00F23661">
        <w:rPr>
          <w:rFonts w:ascii="Verdana" w:hAnsi="Verdana" w:cs="NimbusSanL-ReguItal"/>
          <w:b/>
          <w:sz w:val="20"/>
          <w:szCs w:val="20"/>
        </w:rPr>
        <w:t>Report</w:t>
      </w:r>
    </w:p>
    <w:p w:rsidR="004F0E6D" w:rsidRDefault="0070520C" w:rsidP="006F5208">
      <w:pPr>
        <w:autoSpaceDE w:val="0"/>
        <w:autoSpaceDN w:val="0"/>
        <w:adjustRightInd w:val="0"/>
        <w:spacing w:after="0" w:line="240" w:lineRule="auto"/>
        <w:rPr>
          <w:rFonts w:ascii="Verdana" w:hAnsi="Verdana" w:cs="NimbusSanL-Regu"/>
          <w:sz w:val="20"/>
          <w:szCs w:val="20"/>
        </w:rPr>
      </w:pPr>
    </w:p>
    <w:p w:rsidR="00F23661" w:rsidRPr="004F0E6D" w:rsidRDefault="0070520C" w:rsidP="006F5208">
      <w:pPr>
        <w:autoSpaceDE w:val="0"/>
        <w:autoSpaceDN w:val="0"/>
        <w:adjustRightInd w:val="0"/>
        <w:spacing w:after="0" w:line="240" w:lineRule="auto"/>
        <w:rPr>
          <w:rFonts w:ascii="Verdana" w:hAnsi="Verdana" w:cs="NimbusSanL-Regu"/>
          <w:sz w:val="20"/>
          <w:szCs w:val="20"/>
        </w:rPr>
      </w:pPr>
      <w:r w:rsidRPr="004F0E6D">
        <w:rPr>
          <w:rFonts w:ascii="Verdana" w:hAnsi="Verdana" w:cs="Arial"/>
          <w:sz w:val="20"/>
          <w:szCs w:val="20"/>
        </w:rPr>
        <w:t xml:space="preserve">JM Smucker Company manufactures and markets food products on a worldwide basis. The Company's principal </w:t>
      </w:r>
      <w:r>
        <w:rPr>
          <w:rFonts w:ascii="Verdana" w:hAnsi="Verdana" w:cs="Arial"/>
          <w:sz w:val="20"/>
          <w:szCs w:val="20"/>
        </w:rPr>
        <w:t>products include peanut butter</w:t>
      </w:r>
      <w:r w:rsidRPr="004F0E6D">
        <w:rPr>
          <w:rFonts w:ascii="Verdana" w:hAnsi="Verdana" w:cs="Arial"/>
          <w:sz w:val="20"/>
          <w:szCs w:val="20"/>
        </w:rPr>
        <w:t>, fruit spreads, baking mixes and ready-to-spread frostings, flour and baking ingredie</w:t>
      </w:r>
      <w:r>
        <w:rPr>
          <w:rFonts w:ascii="Verdana" w:hAnsi="Verdana" w:cs="Arial"/>
          <w:sz w:val="20"/>
          <w:szCs w:val="20"/>
        </w:rPr>
        <w:t xml:space="preserve">nts, juices and beverages, </w:t>
      </w:r>
      <w:r w:rsidRPr="004F0E6D">
        <w:rPr>
          <w:rFonts w:ascii="Verdana" w:hAnsi="Verdana" w:cs="Arial"/>
          <w:sz w:val="20"/>
          <w:szCs w:val="20"/>
        </w:rPr>
        <w:t>syrups, p</w:t>
      </w:r>
      <w:r w:rsidRPr="004F0E6D">
        <w:rPr>
          <w:rFonts w:ascii="Verdana" w:hAnsi="Verdana" w:cs="Arial"/>
          <w:sz w:val="20"/>
          <w:szCs w:val="20"/>
        </w:rPr>
        <w:t>ickles and con</w:t>
      </w:r>
      <w:r>
        <w:rPr>
          <w:rFonts w:ascii="Verdana" w:hAnsi="Verdana" w:cs="Arial"/>
          <w:sz w:val="20"/>
          <w:szCs w:val="20"/>
        </w:rPr>
        <w:t>diments.</w:t>
      </w:r>
    </w:p>
    <w:p w:rsidR="00F23661" w:rsidRDefault="0070520C" w:rsidP="006F5208">
      <w:pPr>
        <w:autoSpaceDE w:val="0"/>
        <w:autoSpaceDN w:val="0"/>
        <w:adjustRightInd w:val="0"/>
        <w:spacing w:after="0" w:line="240" w:lineRule="auto"/>
        <w:rPr>
          <w:rFonts w:ascii="Verdana" w:hAnsi="Verdana" w:cs="NimbusSanL-Regu"/>
          <w:sz w:val="20"/>
          <w:szCs w:val="20"/>
        </w:rPr>
      </w:pPr>
    </w:p>
    <w:p w:rsidR="00E06CC0" w:rsidRPr="00F23661" w:rsidRDefault="0070520C" w:rsidP="006F5208">
      <w:pPr>
        <w:autoSpaceDE w:val="0"/>
        <w:autoSpaceDN w:val="0"/>
        <w:adjustRightInd w:val="0"/>
        <w:spacing w:after="0" w:line="240" w:lineRule="auto"/>
        <w:rPr>
          <w:rFonts w:ascii="Verdana" w:hAnsi="Verdana" w:cs="NimbusSanL-Regu"/>
          <w:sz w:val="20"/>
          <w:szCs w:val="20"/>
        </w:rPr>
      </w:pPr>
      <w:r w:rsidRPr="00F23661">
        <w:rPr>
          <w:rFonts w:ascii="Verdana" w:hAnsi="Verdana" w:cs="NimbusSanL-Regu"/>
          <w:sz w:val="20"/>
          <w:szCs w:val="20"/>
        </w:rPr>
        <w:t xml:space="preserve">The </w:t>
      </w:r>
      <w:r>
        <w:rPr>
          <w:rFonts w:ascii="Verdana" w:hAnsi="Verdana" w:cs="NimbusSanL-Regu"/>
          <w:sz w:val="20"/>
          <w:szCs w:val="20"/>
        </w:rPr>
        <w:t xml:space="preserve">shareholder resolution </w:t>
      </w:r>
      <w:r w:rsidRPr="00F23661">
        <w:rPr>
          <w:rFonts w:ascii="Verdana" w:hAnsi="Verdana" w:cs="NimbusSanL-Regu"/>
          <w:sz w:val="20"/>
          <w:szCs w:val="20"/>
        </w:rPr>
        <w:t>requested a public report by January 2017 analysing how the Company can increase its renewable energy sourcing and/or production. The Propo</w:t>
      </w:r>
      <w:r w:rsidRPr="00F23661">
        <w:rPr>
          <w:rFonts w:ascii="Verdana" w:hAnsi="Verdana" w:cs="NimbusSanL-Regu"/>
          <w:sz w:val="20"/>
          <w:szCs w:val="20"/>
        </w:rPr>
        <w:t>ser</w:t>
      </w:r>
      <w:r w:rsidRPr="00F23661">
        <w:rPr>
          <w:rFonts w:ascii="Verdana" w:hAnsi="Verdana" w:cs="NimbusSanL-Regu"/>
          <w:sz w:val="20"/>
          <w:szCs w:val="20"/>
        </w:rPr>
        <w:t xml:space="preserve"> argued that by setting goals to source renewable energy, the C</w:t>
      </w:r>
      <w:r w:rsidRPr="00F23661">
        <w:rPr>
          <w:rFonts w:ascii="Verdana" w:hAnsi="Verdana" w:cs="NimbusSanL-Regu"/>
          <w:sz w:val="20"/>
          <w:szCs w:val="20"/>
        </w:rPr>
        <w:t xml:space="preserve">ompany would demonstrate a proactive approach to reducing exposure to volatile energy prices; enhancing U.S. energy security; creating jobs in the United States; enhancing the Company’s reputation; achieving its greenhouse gas (GHG) reduction targets; and </w:t>
      </w:r>
      <w:r w:rsidRPr="00F23661">
        <w:rPr>
          <w:rFonts w:ascii="Verdana" w:hAnsi="Verdana" w:cs="NimbusSanL-Regu"/>
          <w:sz w:val="20"/>
          <w:szCs w:val="20"/>
        </w:rPr>
        <w:t xml:space="preserve">meeting the global need for cleaner energy. </w:t>
      </w:r>
    </w:p>
    <w:p w:rsidR="00E06CC0" w:rsidRPr="00F23661" w:rsidRDefault="0070520C" w:rsidP="006F5208">
      <w:pPr>
        <w:autoSpaceDE w:val="0"/>
        <w:autoSpaceDN w:val="0"/>
        <w:adjustRightInd w:val="0"/>
        <w:spacing w:after="0" w:line="240" w:lineRule="auto"/>
        <w:rPr>
          <w:rFonts w:ascii="Verdana" w:hAnsi="Verdana" w:cs="NimbusSanL-Regu"/>
          <w:sz w:val="20"/>
          <w:szCs w:val="20"/>
        </w:rPr>
      </w:pPr>
    </w:p>
    <w:p w:rsidR="006F5208" w:rsidRPr="00F23661" w:rsidRDefault="0070520C" w:rsidP="006F5208">
      <w:pPr>
        <w:autoSpaceDE w:val="0"/>
        <w:autoSpaceDN w:val="0"/>
        <w:adjustRightInd w:val="0"/>
        <w:spacing w:after="0" w:line="240" w:lineRule="auto"/>
        <w:rPr>
          <w:rFonts w:ascii="Verdana" w:hAnsi="Verdana" w:cs="NimbusSanL-Regu"/>
          <w:sz w:val="20"/>
          <w:szCs w:val="20"/>
        </w:rPr>
      </w:pPr>
      <w:r w:rsidRPr="00F23661">
        <w:rPr>
          <w:rFonts w:ascii="Verdana" w:hAnsi="Verdana" w:cs="NimbusSanL-Regu"/>
          <w:sz w:val="20"/>
          <w:szCs w:val="20"/>
        </w:rPr>
        <w:t>The Board recommend</w:t>
      </w:r>
      <w:r w:rsidRPr="00F23661">
        <w:rPr>
          <w:rFonts w:ascii="Verdana" w:hAnsi="Verdana" w:cs="NimbusSanL-Regu"/>
          <w:sz w:val="20"/>
          <w:szCs w:val="20"/>
        </w:rPr>
        <w:t>ed that shareholders oppose the resolution, arguing</w:t>
      </w:r>
      <w:r w:rsidRPr="00F23661">
        <w:rPr>
          <w:rFonts w:ascii="Verdana" w:hAnsi="Verdana" w:cs="NimbusSanL-Regu"/>
          <w:sz w:val="20"/>
          <w:szCs w:val="20"/>
        </w:rPr>
        <w:t xml:space="preserve"> that the Company has recently issued its sixth corporate res</w:t>
      </w:r>
      <w:r w:rsidRPr="00F23661">
        <w:rPr>
          <w:rFonts w:ascii="Verdana" w:hAnsi="Verdana" w:cs="NimbusSanL-Regu"/>
          <w:sz w:val="20"/>
          <w:szCs w:val="20"/>
        </w:rPr>
        <w:t>ponsibility report which included</w:t>
      </w:r>
      <w:r w:rsidRPr="00F23661">
        <w:rPr>
          <w:rFonts w:ascii="Verdana" w:hAnsi="Verdana" w:cs="NimbusSanL-Regu"/>
          <w:sz w:val="20"/>
          <w:szCs w:val="20"/>
        </w:rPr>
        <w:t>, among other matters, a discussion of the Com</w:t>
      </w:r>
      <w:r w:rsidRPr="00F23661">
        <w:rPr>
          <w:rFonts w:ascii="Verdana" w:hAnsi="Verdana" w:cs="NimbusSanL-Regu"/>
          <w:sz w:val="20"/>
          <w:szCs w:val="20"/>
        </w:rPr>
        <w:t>pany’</w:t>
      </w:r>
      <w:r w:rsidRPr="00F23661">
        <w:rPr>
          <w:rFonts w:ascii="Verdana" w:hAnsi="Verdana" w:cs="NimbusSanL-Regu"/>
          <w:sz w:val="20"/>
          <w:szCs w:val="20"/>
        </w:rPr>
        <w:t xml:space="preserve">s renewable </w:t>
      </w:r>
      <w:r w:rsidRPr="00F23661">
        <w:rPr>
          <w:rFonts w:ascii="Verdana" w:hAnsi="Verdana" w:cs="NimbusSanL-Regu"/>
          <w:sz w:val="20"/>
          <w:szCs w:val="20"/>
        </w:rPr>
        <w:t xml:space="preserve">energy investments. </w:t>
      </w:r>
      <w:r>
        <w:rPr>
          <w:rFonts w:ascii="Verdana" w:hAnsi="Verdana" w:cs="NimbusSanL-Regu"/>
          <w:sz w:val="20"/>
          <w:szCs w:val="20"/>
        </w:rPr>
        <w:t>T</w:t>
      </w:r>
      <w:r w:rsidRPr="00F23661">
        <w:rPr>
          <w:rFonts w:ascii="Verdana" w:hAnsi="Verdana" w:cs="NimbusSanL-Regu"/>
          <w:sz w:val="20"/>
          <w:szCs w:val="20"/>
        </w:rPr>
        <w:t>he Company has ma</w:t>
      </w:r>
      <w:r w:rsidRPr="00F23661">
        <w:rPr>
          <w:rFonts w:ascii="Verdana" w:hAnsi="Verdana" w:cs="NimbusSanL-Regu"/>
          <w:sz w:val="20"/>
          <w:szCs w:val="20"/>
        </w:rPr>
        <w:t>de investments</w:t>
      </w:r>
      <w:r>
        <w:rPr>
          <w:rFonts w:ascii="Verdana" w:hAnsi="Verdana" w:cs="NimbusSanL-Regu"/>
          <w:sz w:val="20"/>
          <w:szCs w:val="20"/>
        </w:rPr>
        <w:t xml:space="preserve"> in </w:t>
      </w:r>
      <w:r w:rsidRPr="00F23661">
        <w:rPr>
          <w:rFonts w:ascii="Verdana" w:hAnsi="Verdana" w:cs="NimbusSanL-Regu"/>
          <w:sz w:val="20"/>
          <w:szCs w:val="20"/>
        </w:rPr>
        <w:t xml:space="preserve">solar </w:t>
      </w:r>
      <w:r w:rsidRPr="00F23661">
        <w:rPr>
          <w:rFonts w:ascii="Verdana" w:hAnsi="Verdana" w:cs="NimbusSanL-Regu"/>
          <w:sz w:val="20"/>
          <w:szCs w:val="20"/>
        </w:rPr>
        <w:t>arrays and methane turbines at the Company’s natural foods campus in Chico, California</w:t>
      </w:r>
      <w:r>
        <w:rPr>
          <w:rFonts w:ascii="Verdana" w:hAnsi="Verdana" w:cs="NimbusSanL-Regu"/>
          <w:sz w:val="20"/>
          <w:szCs w:val="20"/>
        </w:rPr>
        <w:t xml:space="preserve"> and t</w:t>
      </w:r>
      <w:r w:rsidRPr="00F23661">
        <w:rPr>
          <w:rFonts w:ascii="Verdana" w:hAnsi="Verdana" w:cs="NimbusSanL-Regu"/>
          <w:sz w:val="20"/>
          <w:szCs w:val="20"/>
        </w:rPr>
        <w:t>he Board</w:t>
      </w:r>
      <w:r w:rsidRPr="00F23661">
        <w:rPr>
          <w:rFonts w:ascii="Verdana" w:hAnsi="Verdana" w:cs="NimbusSanL-Regu"/>
          <w:sz w:val="20"/>
          <w:szCs w:val="20"/>
        </w:rPr>
        <w:t xml:space="preserve"> argued that the </w:t>
      </w:r>
      <w:r w:rsidRPr="00F23661">
        <w:rPr>
          <w:rFonts w:ascii="Verdana" w:hAnsi="Verdana" w:cs="NimbusSanL-Regu"/>
          <w:sz w:val="20"/>
          <w:szCs w:val="20"/>
        </w:rPr>
        <w:t>propo</w:t>
      </w:r>
      <w:r w:rsidRPr="00F23661">
        <w:rPr>
          <w:rFonts w:ascii="Verdana" w:hAnsi="Verdana" w:cs="NimbusSanL-Regu"/>
          <w:sz w:val="20"/>
          <w:szCs w:val="20"/>
        </w:rPr>
        <w:t xml:space="preserve">sal would result in unnecessary </w:t>
      </w:r>
      <w:r w:rsidRPr="00F23661">
        <w:rPr>
          <w:rFonts w:ascii="Verdana" w:hAnsi="Verdana" w:cs="NimbusSanL-Regu"/>
          <w:sz w:val="20"/>
          <w:szCs w:val="20"/>
        </w:rPr>
        <w:t xml:space="preserve">and duplicative reporting, </w:t>
      </w:r>
      <w:r w:rsidRPr="00F23661">
        <w:rPr>
          <w:rFonts w:ascii="Verdana" w:hAnsi="Verdana" w:cs="NimbusSanL-Regu"/>
          <w:sz w:val="20"/>
          <w:szCs w:val="20"/>
        </w:rPr>
        <w:t>and wa</w:t>
      </w:r>
      <w:r w:rsidRPr="00F23661">
        <w:rPr>
          <w:rFonts w:ascii="Verdana" w:hAnsi="Verdana" w:cs="NimbusSanL-Regu"/>
          <w:sz w:val="20"/>
          <w:szCs w:val="20"/>
        </w:rPr>
        <w:t>s not in the best interests of the Company and its shareholders.</w:t>
      </w:r>
      <w:r w:rsidRPr="00F23661">
        <w:rPr>
          <w:rFonts w:ascii="Verdana" w:hAnsi="Verdana" w:cs="NimbusSanL-Regu"/>
          <w:sz w:val="20"/>
          <w:szCs w:val="20"/>
        </w:rPr>
        <w:t xml:space="preserve"> </w:t>
      </w:r>
    </w:p>
    <w:p w:rsidR="00F947B4" w:rsidRPr="00F23661" w:rsidRDefault="0070520C" w:rsidP="006F5208">
      <w:pPr>
        <w:autoSpaceDE w:val="0"/>
        <w:autoSpaceDN w:val="0"/>
        <w:adjustRightInd w:val="0"/>
        <w:spacing w:after="0" w:line="240" w:lineRule="auto"/>
        <w:rPr>
          <w:rFonts w:ascii="Verdana" w:hAnsi="Verdana" w:cs="NimbusSanL-Regu"/>
          <w:sz w:val="20"/>
          <w:szCs w:val="20"/>
        </w:rPr>
      </w:pPr>
    </w:p>
    <w:p w:rsidR="00F947B4"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LCPF supported the resolution on the basis that the company has not set goals or targets for its development of renewable energy sourcing.</w:t>
      </w:r>
    </w:p>
    <w:p w:rsidR="006F5208" w:rsidRPr="008B738F" w:rsidRDefault="0070520C" w:rsidP="006F5208">
      <w:pPr>
        <w:spacing w:after="0"/>
        <w:rPr>
          <w:rFonts w:ascii="Verdana" w:hAnsi="Verdana" w:cs="NimbusSanL-Bold"/>
          <w:bCs/>
          <w:sz w:val="20"/>
          <w:szCs w:val="20"/>
        </w:rPr>
      </w:pPr>
      <w:r w:rsidRPr="008B738F">
        <w:rPr>
          <w:rFonts w:ascii="Verdana" w:hAnsi="Verdana" w:cs="NimbusSanL-Regu"/>
          <w:sz w:val="20"/>
          <w:szCs w:val="20"/>
        </w:rPr>
        <w:t>Results: For: 27.</w:t>
      </w:r>
      <w:r w:rsidRPr="008B738F">
        <w:rPr>
          <w:rFonts w:ascii="Verdana" w:hAnsi="Verdana" w:cs="NimbusSanL-Regu"/>
          <w:sz w:val="20"/>
          <w:szCs w:val="20"/>
        </w:rPr>
        <w:t>0</w:t>
      </w:r>
      <w:r w:rsidRPr="008B738F">
        <w:rPr>
          <w:rFonts w:ascii="Verdana" w:hAnsi="Verdana" w:cs="NimbusSanL-Regu"/>
          <w:sz w:val="20"/>
          <w:szCs w:val="20"/>
        </w:rPr>
        <w:t>%</w:t>
      </w:r>
      <w:r w:rsidRPr="008B738F">
        <w:rPr>
          <w:rFonts w:ascii="Verdana" w:hAnsi="Verdana" w:cs="NimbusSanL-Regu"/>
          <w:sz w:val="20"/>
          <w:szCs w:val="20"/>
        </w:rPr>
        <w:t>, Abstain: 5.1</w:t>
      </w:r>
      <w:r w:rsidRPr="008B738F">
        <w:rPr>
          <w:rFonts w:ascii="Verdana" w:hAnsi="Verdana" w:cs="NimbusSanL-Regu"/>
          <w:sz w:val="20"/>
          <w:szCs w:val="20"/>
        </w:rPr>
        <w:t>%</w:t>
      </w:r>
      <w:r w:rsidRPr="008B738F">
        <w:rPr>
          <w:rFonts w:ascii="Verdana" w:hAnsi="Verdana" w:cs="NimbusSanL-Regu"/>
          <w:sz w:val="20"/>
          <w:szCs w:val="20"/>
        </w:rPr>
        <w:t>, Opp</w:t>
      </w:r>
      <w:r w:rsidRPr="008B738F">
        <w:rPr>
          <w:rFonts w:ascii="Verdana" w:hAnsi="Verdana" w:cs="NimbusSanL-Regu"/>
          <w:sz w:val="20"/>
          <w:szCs w:val="20"/>
        </w:rPr>
        <w:t>ose/Withhold: 67.9%.</w:t>
      </w:r>
    </w:p>
    <w:p w:rsidR="006F5208" w:rsidRPr="008B738F" w:rsidRDefault="0070520C" w:rsidP="009E0790">
      <w:pPr>
        <w:spacing w:after="0"/>
        <w:rPr>
          <w:rFonts w:ascii="Verdana" w:hAnsi="Verdana" w:cs="NimbusSanL-Bold"/>
          <w:bCs/>
          <w:sz w:val="20"/>
          <w:szCs w:val="20"/>
        </w:rPr>
      </w:pPr>
    </w:p>
    <w:p w:rsidR="006F5208" w:rsidRPr="008B738F" w:rsidRDefault="0070520C" w:rsidP="00A336E8">
      <w:pPr>
        <w:spacing w:after="0"/>
        <w:rPr>
          <w:rFonts w:ascii="Verdana" w:hAnsi="Verdana" w:cs="NimbusSanL-ReguItal"/>
          <w:b/>
          <w:sz w:val="20"/>
          <w:szCs w:val="20"/>
        </w:rPr>
      </w:pPr>
      <w:r w:rsidRPr="008B738F">
        <w:rPr>
          <w:rFonts w:ascii="Verdana" w:hAnsi="Verdana" w:cs="NimbusSanL-Bold"/>
          <w:b/>
          <w:bCs/>
          <w:sz w:val="20"/>
          <w:szCs w:val="20"/>
        </w:rPr>
        <w:t>N</w:t>
      </w:r>
      <w:r w:rsidRPr="008B738F">
        <w:rPr>
          <w:rFonts w:ascii="Verdana" w:hAnsi="Verdana" w:cs="NimbusSanL-Bold"/>
          <w:b/>
          <w:bCs/>
          <w:sz w:val="20"/>
          <w:szCs w:val="20"/>
        </w:rPr>
        <w:t>ike</w:t>
      </w:r>
      <w:r w:rsidRPr="008B738F">
        <w:rPr>
          <w:rFonts w:ascii="Verdana" w:hAnsi="Verdana" w:cs="NimbusSanL-Bold"/>
          <w:b/>
          <w:bCs/>
          <w:sz w:val="20"/>
          <w:szCs w:val="20"/>
        </w:rPr>
        <w:t xml:space="preserve"> I</w:t>
      </w:r>
      <w:r w:rsidRPr="008B738F">
        <w:rPr>
          <w:rFonts w:ascii="Verdana" w:hAnsi="Verdana" w:cs="NimbusSanL-Bold"/>
          <w:b/>
          <w:bCs/>
          <w:sz w:val="20"/>
          <w:szCs w:val="20"/>
        </w:rPr>
        <w:t>nc</w:t>
      </w:r>
      <w:r w:rsidRPr="008B738F">
        <w:rPr>
          <w:rFonts w:ascii="Verdana" w:hAnsi="Verdana" w:cs="NimbusSanL-Bold"/>
          <w:b/>
          <w:bCs/>
          <w:sz w:val="20"/>
          <w:szCs w:val="20"/>
        </w:rPr>
        <w:t xml:space="preserve">. AGM - </w:t>
      </w:r>
      <w:r w:rsidRPr="008B738F">
        <w:rPr>
          <w:rFonts w:ascii="Verdana" w:hAnsi="Verdana" w:cs="NimbusSanL-ReguItal"/>
          <w:b/>
          <w:sz w:val="20"/>
          <w:szCs w:val="20"/>
        </w:rPr>
        <w:t>Report on Political Contributions</w:t>
      </w:r>
    </w:p>
    <w:p w:rsidR="004F0E6D" w:rsidRPr="008B738F" w:rsidRDefault="0070520C" w:rsidP="00A336E8">
      <w:pPr>
        <w:spacing w:after="0"/>
        <w:rPr>
          <w:rFonts w:ascii="Verdana" w:hAnsi="Verdana" w:cs="NimbusSanL-ReguItal"/>
          <w:b/>
          <w:sz w:val="20"/>
          <w:szCs w:val="20"/>
        </w:rPr>
      </w:pPr>
    </w:p>
    <w:p w:rsidR="004F0E6D" w:rsidRPr="008B738F" w:rsidRDefault="0070520C" w:rsidP="00A336E8">
      <w:pPr>
        <w:spacing w:after="0"/>
        <w:rPr>
          <w:rFonts w:ascii="Verdana" w:hAnsi="Verdana" w:cs="NimbusSanL-Bold"/>
          <w:b/>
          <w:bCs/>
          <w:sz w:val="20"/>
          <w:szCs w:val="20"/>
        </w:rPr>
      </w:pPr>
      <w:r w:rsidRPr="008B738F">
        <w:rPr>
          <w:rFonts w:ascii="Verdana" w:hAnsi="Verdana"/>
          <w:sz w:val="20"/>
          <w:szCs w:val="20"/>
          <w:lang w:val="en"/>
        </w:rPr>
        <w:t xml:space="preserve">Nike is a </w:t>
      </w:r>
      <w:hyperlink r:id="rId8" w:tooltip="Multinational corporation" w:history="1">
        <w:r w:rsidRPr="008B738F">
          <w:rPr>
            <w:rStyle w:val="Hyperlink"/>
            <w:rFonts w:ascii="Verdana" w:hAnsi="Verdana"/>
            <w:color w:val="auto"/>
            <w:sz w:val="20"/>
            <w:szCs w:val="20"/>
            <w:u w:val="none"/>
            <w:lang w:val="en"/>
          </w:rPr>
          <w:t>multinational corporation</w:t>
        </w:r>
      </w:hyperlink>
      <w:r w:rsidRPr="008B738F">
        <w:rPr>
          <w:rFonts w:ascii="Verdana" w:hAnsi="Verdana"/>
          <w:sz w:val="20"/>
          <w:szCs w:val="20"/>
          <w:lang w:val="en"/>
        </w:rPr>
        <w:t xml:space="preserve"> which designs, develops, manufactures and markets footwear, apparel, equipment, accessories and services.</w:t>
      </w:r>
    </w:p>
    <w:p w:rsidR="004F0E6D"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The shareholder resolution request</w:t>
      </w:r>
      <w:r w:rsidRPr="008B738F">
        <w:rPr>
          <w:rFonts w:ascii="Verdana" w:hAnsi="Verdana" w:cs="NimbusSanL-Regu"/>
          <w:sz w:val="20"/>
          <w:szCs w:val="20"/>
        </w:rPr>
        <w:t>ed</w:t>
      </w:r>
      <w:r w:rsidRPr="008B738F">
        <w:rPr>
          <w:rFonts w:ascii="Verdana" w:hAnsi="Verdana" w:cs="NimbusSanL-Regu"/>
          <w:sz w:val="20"/>
          <w:szCs w:val="20"/>
        </w:rPr>
        <w:t xml:space="preserve"> that the Company provide a report, updated semi-annually, which discloses </w:t>
      </w:r>
    </w:p>
    <w:p w:rsidR="00F947B4"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1) Nike’s policies and procedures for</w:t>
      </w:r>
      <w:r w:rsidRPr="008B738F">
        <w:rPr>
          <w:rFonts w:ascii="Verdana" w:hAnsi="Verdana" w:cs="NimbusSanL-Regu"/>
          <w:sz w:val="20"/>
          <w:szCs w:val="20"/>
        </w:rPr>
        <w:t xml:space="preserve"> making direct or indirect contributions to</w:t>
      </w:r>
      <w:r w:rsidRPr="008B738F">
        <w:rPr>
          <w:rFonts w:ascii="Verdana" w:hAnsi="Verdana" w:cs="NimbusSanL-Regu"/>
          <w:sz w:val="20"/>
          <w:szCs w:val="20"/>
        </w:rPr>
        <w:t xml:space="preserve"> </w:t>
      </w:r>
      <w:r w:rsidRPr="008B738F">
        <w:rPr>
          <w:rFonts w:ascii="Verdana" w:hAnsi="Verdana" w:cs="NimbusSanL-Regu"/>
          <w:sz w:val="20"/>
          <w:szCs w:val="20"/>
        </w:rPr>
        <w:t xml:space="preserve">the </w:t>
      </w:r>
      <w:r w:rsidRPr="008B738F">
        <w:rPr>
          <w:rFonts w:ascii="Verdana" w:hAnsi="Verdana" w:cs="NimbusSanL-Regu"/>
          <w:sz w:val="20"/>
          <w:szCs w:val="20"/>
        </w:rPr>
        <w:t>political c</w:t>
      </w:r>
      <w:r w:rsidRPr="008B738F">
        <w:rPr>
          <w:rFonts w:ascii="Verdana" w:hAnsi="Verdana" w:cs="NimbusSanL-Regu"/>
          <w:sz w:val="20"/>
          <w:szCs w:val="20"/>
        </w:rPr>
        <w:t>ampaign</w:t>
      </w:r>
      <w:r w:rsidRPr="008B738F">
        <w:rPr>
          <w:rFonts w:ascii="Verdana" w:hAnsi="Verdana" w:cs="NimbusSanL-Regu"/>
          <w:sz w:val="20"/>
          <w:szCs w:val="20"/>
        </w:rPr>
        <w:t>s</w:t>
      </w:r>
      <w:r w:rsidRPr="008B738F">
        <w:rPr>
          <w:rFonts w:ascii="Verdana" w:hAnsi="Verdana" w:cs="NimbusSanL-Regu"/>
          <w:sz w:val="20"/>
          <w:szCs w:val="20"/>
        </w:rPr>
        <w:t xml:space="preserve"> </w:t>
      </w:r>
      <w:r w:rsidRPr="008B738F">
        <w:rPr>
          <w:rFonts w:ascii="Verdana" w:hAnsi="Verdana" w:cs="NimbusSanL-Regu"/>
          <w:sz w:val="20"/>
          <w:szCs w:val="20"/>
        </w:rPr>
        <w:t xml:space="preserve">of </w:t>
      </w:r>
      <w:r w:rsidRPr="008B738F">
        <w:rPr>
          <w:rFonts w:ascii="Verdana" w:hAnsi="Verdana" w:cs="NimbusSanL-Regu"/>
          <w:sz w:val="20"/>
          <w:szCs w:val="20"/>
        </w:rPr>
        <w:t xml:space="preserve">candidate for public office, or </w:t>
      </w:r>
      <w:r w:rsidRPr="008B738F">
        <w:rPr>
          <w:rFonts w:ascii="Verdana" w:hAnsi="Verdana" w:cs="NimbusSanL-Regu"/>
          <w:sz w:val="20"/>
          <w:szCs w:val="20"/>
        </w:rPr>
        <w:t xml:space="preserve">for </w:t>
      </w:r>
      <w:r w:rsidRPr="008B738F">
        <w:rPr>
          <w:rFonts w:ascii="Verdana" w:hAnsi="Verdana" w:cs="NimbusSanL-Regu"/>
          <w:sz w:val="20"/>
          <w:szCs w:val="20"/>
        </w:rPr>
        <w:t>attempt</w:t>
      </w:r>
      <w:r w:rsidRPr="008B738F">
        <w:rPr>
          <w:rFonts w:ascii="Verdana" w:hAnsi="Verdana" w:cs="NimbusSanL-Regu"/>
          <w:sz w:val="20"/>
          <w:szCs w:val="20"/>
        </w:rPr>
        <w:t>ing</w:t>
      </w:r>
      <w:r w:rsidRPr="008B738F">
        <w:rPr>
          <w:rFonts w:ascii="Verdana" w:hAnsi="Verdana" w:cs="NimbusSanL-Regu"/>
          <w:sz w:val="20"/>
          <w:szCs w:val="20"/>
        </w:rPr>
        <w:t xml:space="preserve"> to </w:t>
      </w:r>
      <w:r w:rsidRPr="008B738F">
        <w:rPr>
          <w:rFonts w:ascii="Verdana" w:hAnsi="Verdana" w:cs="NimbusSanL-Regu"/>
          <w:sz w:val="20"/>
          <w:szCs w:val="20"/>
        </w:rPr>
        <w:t xml:space="preserve">influence the general public with respect to an election or referendum. </w:t>
      </w:r>
    </w:p>
    <w:p w:rsidR="00F947B4"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 xml:space="preserve">2) any monetary and non-monetary contributions made </w:t>
      </w:r>
      <w:r w:rsidRPr="008B738F">
        <w:rPr>
          <w:rFonts w:ascii="Verdana" w:hAnsi="Verdana" w:cs="NimbusSanL-Regu"/>
          <w:sz w:val="20"/>
          <w:szCs w:val="20"/>
        </w:rPr>
        <w:t xml:space="preserve">(direct and indirect) including: </w:t>
      </w:r>
    </w:p>
    <w:p w:rsidR="006F5208"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a. The identity of the recipient as well as the amount paid to each; and</w:t>
      </w:r>
    </w:p>
    <w:p w:rsidR="006F5208"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b. The title(s) of person(s) at N</w:t>
      </w:r>
      <w:r w:rsidRPr="008B738F">
        <w:rPr>
          <w:rFonts w:ascii="Verdana" w:hAnsi="Verdana" w:cs="NimbusSanL-Regu"/>
          <w:sz w:val="20"/>
          <w:szCs w:val="20"/>
        </w:rPr>
        <w:t xml:space="preserve">ike </w:t>
      </w:r>
      <w:r w:rsidRPr="008B738F">
        <w:rPr>
          <w:rFonts w:ascii="Verdana" w:hAnsi="Verdana" w:cs="NimbusSanL-Regu"/>
          <w:sz w:val="20"/>
          <w:szCs w:val="20"/>
        </w:rPr>
        <w:t>responsible for decision-making.</w:t>
      </w:r>
    </w:p>
    <w:p w:rsidR="00F947B4" w:rsidRPr="008B738F" w:rsidRDefault="0070520C" w:rsidP="006F5208">
      <w:pPr>
        <w:autoSpaceDE w:val="0"/>
        <w:autoSpaceDN w:val="0"/>
        <w:adjustRightInd w:val="0"/>
        <w:spacing w:after="0" w:line="240" w:lineRule="auto"/>
        <w:rPr>
          <w:rFonts w:ascii="Verdana" w:hAnsi="Verdana" w:cs="NimbusSanL-Bold"/>
          <w:b/>
          <w:bCs/>
          <w:sz w:val="20"/>
          <w:szCs w:val="20"/>
        </w:rPr>
      </w:pPr>
    </w:p>
    <w:p w:rsidR="006F5208" w:rsidRPr="008B738F" w:rsidRDefault="0070520C" w:rsidP="006F5208">
      <w:pPr>
        <w:autoSpaceDE w:val="0"/>
        <w:autoSpaceDN w:val="0"/>
        <w:adjustRightInd w:val="0"/>
        <w:spacing w:after="0" w:line="240" w:lineRule="auto"/>
        <w:rPr>
          <w:rFonts w:ascii="Verdana" w:hAnsi="Verdana" w:cs="NimbusSanL-Regu"/>
          <w:sz w:val="20"/>
          <w:szCs w:val="20"/>
        </w:rPr>
      </w:pPr>
      <w:r w:rsidRPr="008B738F">
        <w:rPr>
          <w:rFonts w:ascii="Verdana" w:hAnsi="Verdana" w:cs="NimbusSanL-Regu"/>
          <w:sz w:val="20"/>
          <w:szCs w:val="20"/>
        </w:rPr>
        <w:t>The Propo</w:t>
      </w:r>
      <w:r w:rsidRPr="008B738F">
        <w:rPr>
          <w:rFonts w:ascii="Verdana" w:hAnsi="Verdana" w:cs="NimbusSanL-Regu"/>
          <w:sz w:val="20"/>
          <w:szCs w:val="20"/>
        </w:rPr>
        <w:t>ser</w:t>
      </w:r>
      <w:r w:rsidRPr="008B738F">
        <w:rPr>
          <w:rFonts w:ascii="Verdana" w:hAnsi="Verdana" w:cs="NimbusSanL-Regu"/>
          <w:sz w:val="20"/>
          <w:szCs w:val="20"/>
        </w:rPr>
        <w:t xml:space="preserve"> argued that </w:t>
      </w:r>
      <w:r w:rsidRPr="008B738F">
        <w:rPr>
          <w:rFonts w:ascii="Verdana" w:hAnsi="Verdana" w:cs="NimbusSanL-Regu"/>
          <w:sz w:val="20"/>
          <w:szCs w:val="20"/>
        </w:rPr>
        <w:t xml:space="preserve">current </w:t>
      </w:r>
      <w:r w:rsidRPr="008B738F">
        <w:rPr>
          <w:rFonts w:ascii="Verdana" w:hAnsi="Verdana" w:cs="NimbusSanL-Regu"/>
          <w:sz w:val="20"/>
          <w:szCs w:val="20"/>
        </w:rPr>
        <w:t>gaps in reporting keep shareholders in the da</w:t>
      </w:r>
      <w:r w:rsidRPr="008B738F">
        <w:rPr>
          <w:rFonts w:ascii="Verdana" w:hAnsi="Verdana" w:cs="NimbusSanL-Regu"/>
          <w:sz w:val="20"/>
          <w:szCs w:val="20"/>
        </w:rPr>
        <w:t xml:space="preserve">rk and expose </w:t>
      </w:r>
      <w:r w:rsidRPr="008B738F">
        <w:rPr>
          <w:rFonts w:ascii="Verdana" w:hAnsi="Verdana" w:cs="NimbusSanL-Regu"/>
          <w:sz w:val="20"/>
          <w:szCs w:val="20"/>
        </w:rPr>
        <w:t>Nike</w:t>
      </w:r>
      <w:r w:rsidRPr="008B738F">
        <w:rPr>
          <w:rFonts w:ascii="Verdana" w:hAnsi="Verdana" w:cs="NimbusSanL-Regu"/>
          <w:sz w:val="20"/>
          <w:szCs w:val="20"/>
        </w:rPr>
        <w:t xml:space="preserve"> to reputational and business risks that could threaten shareholder value. It was argued that </w:t>
      </w:r>
      <w:r w:rsidRPr="008B738F">
        <w:rPr>
          <w:rFonts w:ascii="Verdana" w:hAnsi="Verdana" w:cs="NimbusSanL-Regu"/>
          <w:sz w:val="20"/>
          <w:szCs w:val="20"/>
        </w:rPr>
        <w:t>Nike</w:t>
      </w:r>
      <w:r w:rsidRPr="008B738F">
        <w:rPr>
          <w:rFonts w:ascii="Verdana" w:hAnsi="Verdana" w:cs="NimbusSanL-Regu"/>
          <w:sz w:val="20"/>
          <w:szCs w:val="20"/>
        </w:rPr>
        <w:t>’s current policy regarding political spending has a number of significant gaps</w:t>
      </w:r>
      <w:r w:rsidRPr="008B738F">
        <w:rPr>
          <w:rFonts w:ascii="Verdana" w:hAnsi="Verdana" w:cs="NimbusSanL-Regu"/>
          <w:sz w:val="20"/>
          <w:szCs w:val="20"/>
        </w:rPr>
        <w:t xml:space="preserve">, </w:t>
      </w:r>
      <w:r w:rsidRPr="008B738F">
        <w:rPr>
          <w:rFonts w:ascii="Verdana" w:hAnsi="Verdana" w:cs="NimbusSanL-Regu"/>
          <w:sz w:val="20"/>
          <w:szCs w:val="20"/>
        </w:rPr>
        <w:t>public data does not provide a complete p</w:t>
      </w:r>
      <w:r w:rsidRPr="008B738F">
        <w:rPr>
          <w:rFonts w:ascii="Verdana" w:hAnsi="Verdana" w:cs="NimbusSanL-Regu"/>
          <w:sz w:val="20"/>
          <w:szCs w:val="20"/>
        </w:rPr>
        <w:t xml:space="preserve">icture and </w:t>
      </w:r>
      <w:r w:rsidRPr="008B738F">
        <w:rPr>
          <w:rFonts w:ascii="Verdana" w:hAnsi="Verdana" w:cs="NimbusSanL-Regu"/>
          <w:sz w:val="20"/>
          <w:szCs w:val="20"/>
        </w:rPr>
        <w:t>Nike</w:t>
      </w:r>
      <w:r w:rsidRPr="008B738F">
        <w:rPr>
          <w:rFonts w:ascii="Verdana" w:hAnsi="Verdana" w:cs="NimbusSanL-Regu"/>
          <w:sz w:val="20"/>
          <w:szCs w:val="20"/>
        </w:rPr>
        <w:t xml:space="preserve"> do</w:t>
      </w:r>
      <w:r w:rsidRPr="008B738F">
        <w:rPr>
          <w:rFonts w:ascii="Verdana" w:hAnsi="Verdana" w:cs="NimbusSanL-Regu"/>
          <w:sz w:val="20"/>
          <w:szCs w:val="20"/>
        </w:rPr>
        <w:t xml:space="preserve">es not report </w:t>
      </w:r>
      <w:r w:rsidRPr="008B738F">
        <w:rPr>
          <w:rFonts w:ascii="Verdana" w:hAnsi="Verdana" w:cs="NimbusSanL-Regu"/>
          <w:sz w:val="20"/>
          <w:szCs w:val="20"/>
        </w:rPr>
        <w:t xml:space="preserve">on the most important avenue of hidden </w:t>
      </w:r>
      <w:r w:rsidRPr="008B738F">
        <w:rPr>
          <w:rFonts w:ascii="Verdana" w:hAnsi="Verdana" w:cs="NimbusSanL-Regu"/>
          <w:sz w:val="20"/>
          <w:szCs w:val="20"/>
        </w:rPr>
        <w:t>corporate money into politics: p</w:t>
      </w:r>
      <w:r w:rsidRPr="008B738F">
        <w:rPr>
          <w:rFonts w:ascii="Verdana" w:hAnsi="Verdana" w:cs="NimbusSanL-Regu"/>
          <w:sz w:val="20"/>
          <w:szCs w:val="20"/>
        </w:rPr>
        <w:t>ayments to t</w:t>
      </w:r>
      <w:r w:rsidRPr="008B738F">
        <w:rPr>
          <w:rFonts w:ascii="Verdana" w:hAnsi="Verdana" w:cs="NimbusSanL-Regu"/>
          <w:sz w:val="20"/>
          <w:szCs w:val="20"/>
        </w:rPr>
        <w:t>rade associations</w:t>
      </w:r>
      <w:r w:rsidRPr="008B738F">
        <w:rPr>
          <w:rFonts w:ascii="Verdana" w:hAnsi="Verdana" w:cs="NimbusSanL-Regu"/>
          <w:sz w:val="20"/>
          <w:szCs w:val="20"/>
        </w:rPr>
        <w:t>.</w:t>
      </w:r>
    </w:p>
    <w:p w:rsidR="00A336E8" w:rsidRPr="008B738F" w:rsidRDefault="0070520C" w:rsidP="006F5208">
      <w:pPr>
        <w:autoSpaceDE w:val="0"/>
        <w:autoSpaceDN w:val="0"/>
        <w:adjustRightInd w:val="0"/>
        <w:spacing w:after="0" w:line="240" w:lineRule="auto"/>
        <w:rPr>
          <w:rFonts w:ascii="Verdana" w:hAnsi="Verdana" w:cs="NimbusSanL-Bold"/>
          <w:b/>
          <w:bCs/>
          <w:sz w:val="20"/>
          <w:szCs w:val="20"/>
        </w:rPr>
      </w:pPr>
    </w:p>
    <w:p w:rsidR="006F5208" w:rsidRPr="00F23661" w:rsidRDefault="0070520C" w:rsidP="006F5208">
      <w:pPr>
        <w:autoSpaceDE w:val="0"/>
        <w:autoSpaceDN w:val="0"/>
        <w:adjustRightInd w:val="0"/>
        <w:spacing w:after="0" w:line="240" w:lineRule="auto"/>
        <w:rPr>
          <w:rFonts w:ascii="Verdana" w:hAnsi="Verdana" w:cs="NimbusSanL-Regu"/>
          <w:sz w:val="20"/>
          <w:szCs w:val="20"/>
        </w:rPr>
      </w:pPr>
      <w:r w:rsidRPr="00F23661">
        <w:rPr>
          <w:rFonts w:ascii="Verdana" w:hAnsi="Verdana" w:cs="NimbusSanL-Regu"/>
          <w:sz w:val="20"/>
          <w:szCs w:val="20"/>
        </w:rPr>
        <w:t>The Board recommend</w:t>
      </w:r>
      <w:r w:rsidRPr="00F23661">
        <w:rPr>
          <w:rFonts w:ascii="Verdana" w:hAnsi="Verdana" w:cs="NimbusSanL-Regu"/>
          <w:sz w:val="20"/>
          <w:szCs w:val="20"/>
        </w:rPr>
        <w:t>ed</w:t>
      </w:r>
      <w:r w:rsidRPr="00F23661">
        <w:rPr>
          <w:rFonts w:ascii="Verdana" w:hAnsi="Verdana" w:cs="NimbusSanL-Regu"/>
          <w:sz w:val="20"/>
          <w:szCs w:val="20"/>
        </w:rPr>
        <w:t xml:space="preserve"> that shareholders vote </w:t>
      </w:r>
      <w:r w:rsidRPr="00F23661">
        <w:rPr>
          <w:rFonts w:ascii="Verdana" w:hAnsi="Verdana" w:cs="NimbusSanL-Regu"/>
          <w:sz w:val="20"/>
          <w:szCs w:val="20"/>
        </w:rPr>
        <w:t xml:space="preserve">against the proposal because </w:t>
      </w:r>
      <w:r w:rsidRPr="00F23661">
        <w:rPr>
          <w:rFonts w:ascii="Verdana" w:hAnsi="Verdana" w:cs="NimbusSanL-Regu"/>
          <w:sz w:val="20"/>
          <w:szCs w:val="20"/>
        </w:rPr>
        <w:t>more disclosure than the</w:t>
      </w:r>
      <w:r w:rsidRPr="00F23661">
        <w:rPr>
          <w:rFonts w:ascii="Verdana" w:hAnsi="Verdana" w:cs="NimbusSanL-Regu"/>
          <w:sz w:val="20"/>
          <w:szCs w:val="20"/>
        </w:rPr>
        <w:t xml:space="preserve"> Company already provides </w:t>
      </w:r>
      <w:r>
        <w:rPr>
          <w:rFonts w:ascii="Verdana" w:hAnsi="Verdana" w:cs="NimbusSanL-Regu"/>
          <w:sz w:val="20"/>
          <w:szCs w:val="20"/>
        </w:rPr>
        <w:t>is</w:t>
      </w:r>
      <w:r w:rsidRPr="00F23661">
        <w:rPr>
          <w:rFonts w:ascii="Verdana" w:hAnsi="Verdana" w:cs="NimbusSanL-Regu"/>
          <w:sz w:val="20"/>
          <w:szCs w:val="20"/>
        </w:rPr>
        <w:t xml:space="preserve"> </w:t>
      </w:r>
      <w:r>
        <w:rPr>
          <w:rFonts w:ascii="Verdana" w:hAnsi="Verdana" w:cs="NimbusSanL-Regu"/>
          <w:sz w:val="20"/>
          <w:szCs w:val="20"/>
        </w:rPr>
        <w:t xml:space="preserve">not </w:t>
      </w:r>
      <w:r w:rsidRPr="00F23661">
        <w:rPr>
          <w:rFonts w:ascii="Verdana" w:hAnsi="Verdana" w:cs="NimbusSanL-Regu"/>
          <w:sz w:val="20"/>
          <w:szCs w:val="20"/>
        </w:rPr>
        <w:t>in the</w:t>
      </w:r>
      <w:r w:rsidRPr="00F23661">
        <w:rPr>
          <w:rFonts w:ascii="Verdana" w:hAnsi="Verdana" w:cs="NimbusSanL-Regu"/>
          <w:sz w:val="20"/>
          <w:szCs w:val="20"/>
        </w:rPr>
        <w:t>ir</w:t>
      </w:r>
      <w:r w:rsidRPr="00F23661">
        <w:rPr>
          <w:rFonts w:ascii="Verdana" w:hAnsi="Verdana" w:cs="NimbusSanL-Regu"/>
          <w:sz w:val="20"/>
          <w:szCs w:val="20"/>
        </w:rPr>
        <w:t xml:space="preserve"> best interests.</w:t>
      </w:r>
    </w:p>
    <w:p w:rsidR="006F5208" w:rsidRPr="00F23661" w:rsidRDefault="0070520C" w:rsidP="00576D81">
      <w:pPr>
        <w:autoSpaceDE w:val="0"/>
        <w:autoSpaceDN w:val="0"/>
        <w:adjustRightInd w:val="0"/>
        <w:spacing w:after="0" w:line="240" w:lineRule="auto"/>
        <w:rPr>
          <w:rFonts w:ascii="Verdana" w:hAnsi="Verdana" w:cs="NimbusSanL-Regu"/>
          <w:sz w:val="20"/>
          <w:szCs w:val="20"/>
        </w:rPr>
      </w:pPr>
      <w:r>
        <w:rPr>
          <w:rFonts w:ascii="Verdana" w:hAnsi="Verdana" w:cs="NimbusSanL-Regu"/>
          <w:sz w:val="20"/>
          <w:szCs w:val="20"/>
        </w:rPr>
        <w:lastRenderedPageBreak/>
        <w:t>T</w:t>
      </w:r>
      <w:r w:rsidRPr="00F23661">
        <w:rPr>
          <w:rFonts w:ascii="Verdana" w:hAnsi="Verdana" w:cs="NimbusSanL-Regu"/>
          <w:sz w:val="20"/>
          <w:szCs w:val="20"/>
        </w:rPr>
        <w:t>he resolution was supported by LCPF</w:t>
      </w:r>
      <w:r>
        <w:rPr>
          <w:rFonts w:ascii="Verdana" w:hAnsi="Verdana" w:cs="NimbusSanL-Regu"/>
          <w:sz w:val="20"/>
          <w:szCs w:val="20"/>
        </w:rPr>
        <w:t xml:space="preserve"> o</w:t>
      </w:r>
      <w:r w:rsidRPr="00F23661">
        <w:rPr>
          <w:rFonts w:ascii="Verdana" w:hAnsi="Verdana" w:cs="NimbusSanL-Bold"/>
          <w:bCs/>
          <w:sz w:val="20"/>
          <w:szCs w:val="20"/>
        </w:rPr>
        <w:t>n the basis</w:t>
      </w:r>
      <w:r w:rsidRPr="00F23661">
        <w:rPr>
          <w:rFonts w:ascii="Verdana" w:hAnsi="Verdana" w:cs="NimbusSanL-Regu"/>
          <w:sz w:val="20"/>
          <w:szCs w:val="20"/>
        </w:rPr>
        <w:t xml:space="preserve"> that it is important companies protect their reputation by open </w:t>
      </w:r>
      <w:r w:rsidRPr="00F23661">
        <w:rPr>
          <w:rFonts w:ascii="Verdana" w:hAnsi="Verdana" w:cs="NimbusSanL-Regu"/>
          <w:sz w:val="20"/>
          <w:szCs w:val="20"/>
        </w:rPr>
        <w:t xml:space="preserve">and </w:t>
      </w:r>
      <w:r w:rsidRPr="00F23661">
        <w:rPr>
          <w:rFonts w:ascii="Verdana" w:hAnsi="Verdana" w:cs="NimbusSanL-Regu"/>
          <w:sz w:val="20"/>
          <w:szCs w:val="20"/>
        </w:rPr>
        <w:t xml:space="preserve">transparent reporting which avoids </w:t>
      </w:r>
      <w:r w:rsidRPr="00F23661">
        <w:rPr>
          <w:rFonts w:ascii="Verdana" w:hAnsi="Verdana" w:cs="NimbusSanL-Regu"/>
          <w:sz w:val="20"/>
          <w:szCs w:val="20"/>
        </w:rPr>
        <w:t>any suspicion that shareholders’</w:t>
      </w:r>
      <w:r w:rsidRPr="00F23661">
        <w:rPr>
          <w:rFonts w:ascii="Verdana" w:hAnsi="Verdana" w:cs="NimbusSanL-Regu"/>
          <w:sz w:val="20"/>
          <w:szCs w:val="20"/>
        </w:rPr>
        <w:t xml:space="preserve"> funds are being used i</w:t>
      </w:r>
      <w:r w:rsidRPr="00F23661">
        <w:rPr>
          <w:rFonts w:ascii="Verdana" w:hAnsi="Verdana" w:cs="NimbusSanL-Regu"/>
          <w:sz w:val="20"/>
          <w:szCs w:val="20"/>
        </w:rPr>
        <w:t>n an inappropria</w:t>
      </w:r>
      <w:r w:rsidRPr="00F23661">
        <w:rPr>
          <w:rFonts w:ascii="Verdana" w:hAnsi="Verdana" w:cs="NimbusSanL-Regu"/>
          <w:sz w:val="20"/>
          <w:szCs w:val="20"/>
        </w:rPr>
        <w:t xml:space="preserve">te way </w:t>
      </w:r>
      <w:r>
        <w:rPr>
          <w:rFonts w:ascii="Verdana" w:hAnsi="Verdana" w:cs="NimbusSanL-Regu"/>
          <w:sz w:val="20"/>
          <w:szCs w:val="20"/>
        </w:rPr>
        <w:t xml:space="preserve">or </w:t>
      </w:r>
      <w:r w:rsidRPr="00F23661">
        <w:rPr>
          <w:rFonts w:ascii="Verdana" w:hAnsi="Verdana" w:cs="NimbusSanL-Regu"/>
          <w:sz w:val="20"/>
          <w:szCs w:val="20"/>
        </w:rPr>
        <w:t>to ga</w:t>
      </w:r>
      <w:r w:rsidRPr="00F23661">
        <w:rPr>
          <w:rFonts w:ascii="Verdana" w:hAnsi="Verdana" w:cs="NimbusSanL-Regu"/>
          <w:sz w:val="20"/>
          <w:szCs w:val="20"/>
        </w:rPr>
        <w:t>in undue influence</w:t>
      </w:r>
      <w:r>
        <w:rPr>
          <w:rFonts w:ascii="Verdana" w:hAnsi="Verdana" w:cs="NimbusSanL-Regu"/>
          <w:sz w:val="20"/>
          <w:szCs w:val="20"/>
        </w:rPr>
        <w:t xml:space="preserve">. </w:t>
      </w:r>
    </w:p>
    <w:p w:rsidR="00A336E8" w:rsidRPr="00F23661" w:rsidRDefault="0070520C" w:rsidP="00576D81">
      <w:pPr>
        <w:autoSpaceDE w:val="0"/>
        <w:autoSpaceDN w:val="0"/>
        <w:adjustRightInd w:val="0"/>
        <w:spacing w:after="0" w:line="240" w:lineRule="auto"/>
        <w:rPr>
          <w:rFonts w:ascii="Verdana" w:hAnsi="Verdana" w:cs="NimbusSanL-Regu"/>
          <w:sz w:val="20"/>
          <w:szCs w:val="20"/>
        </w:rPr>
      </w:pPr>
      <w:r w:rsidRPr="00F23661">
        <w:rPr>
          <w:rFonts w:ascii="Verdana" w:hAnsi="Verdana" w:cs="NimbusSanL-Regu"/>
          <w:sz w:val="20"/>
          <w:szCs w:val="20"/>
        </w:rPr>
        <w:t>Results: For: 26.5%, Abstain: 7.0%, Oppose/Withhold: 66.5%</w:t>
      </w:r>
    </w:p>
    <w:p w:rsidR="00576D81" w:rsidRPr="00F23661" w:rsidRDefault="0070520C" w:rsidP="009E0790">
      <w:pPr>
        <w:spacing w:after="0"/>
        <w:rPr>
          <w:rFonts w:ascii="Verdana" w:hAnsi="Verdana" w:cs="NimbusSanL-ReguItal"/>
          <w:sz w:val="20"/>
          <w:szCs w:val="20"/>
        </w:rPr>
      </w:pPr>
    </w:p>
    <w:p w:rsidR="00197BA3" w:rsidRPr="00F23661" w:rsidRDefault="0070520C" w:rsidP="00197BA3">
      <w:pPr>
        <w:autoSpaceDE w:val="0"/>
        <w:autoSpaceDN w:val="0"/>
        <w:adjustRightInd w:val="0"/>
        <w:spacing w:after="0"/>
        <w:rPr>
          <w:rFonts w:ascii="Verdana" w:hAnsi="Verdana" w:cs="NimbusSanL-Regu"/>
          <w:sz w:val="20"/>
          <w:szCs w:val="20"/>
        </w:rPr>
      </w:pPr>
      <w:r w:rsidRPr="00F23661">
        <w:rPr>
          <w:rFonts w:ascii="Verdana" w:hAnsi="Verdana" w:cs="NimbusSanL-Regu"/>
          <w:sz w:val="20"/>
          <w:szCs w:val="20"/>
        </w:rPr>
        <w:t>Shareholder v</w:t>
      </w:r>
      <w:r w:rsidRPr="00F23661">
        <w:rPr>
          <w:rFonts w:ascii="Verdana" w:hAnsi="Verdana" w:cs="NimbusSanL-Regu"/>
          <w:sz w:val="20"/>
          <w:szCs w:val="20"/>
        </w:rPr>
        <w:t xml:space="preserve">oting forms part of a wider </w:t>
      </w:r>
      <w:r w:rsidRPr="00F23661">
        <w:rPr>
          <w:rFonts w:ascii="Verdana" w:hAnsi="Verdana" w:cs="NimbusSanL-Regu"/>
          <w:sz w:val="20"/>
          <w:szCs w:val="20"/>
        </w:rPr>
        <w:t>programme</w:t>
      </w:r>
      <w:r w:rsidRPr="00F23661">
        <w:rPr>
          <w:rFonts w:ascii="Verdana" w:hAnsi="Verdana" w:cs="NimbusSanL-Regu"/>
          <w:sz w:val="20"/>
          <w:szCs w:val="20"/>
        </w:rPr>
        <w:t xml:space="preserve"> of ownership </w:t>
      </w:r>
      <w:r w:rsidRPr="00F23661">
        <w:rPr>
          <w:rFonts w:ascii="Verdana" w:hAnsi="Verdana" w:cs="NimbusSanL-Regu"/>
          <w:sz w:val="20"/>
          <w:szCs w:val="20"/>
        </w:rPr>
        <w:t xml:space="preserve">activity </w:t>
      </w:r>
      <w:r w:rsidRPr="00F23661">
        <w:rPr>
          <w:rFonts w:ascii="Verdana" w:hAnsi="Verdana" w:cs="NimbusSanL-Regu"/>
          <w:sz w:val="20"/>
          <w:szCs w:val="20"/>
        </w:rPr>
        <w:t xml:space="preserve">through which LPP I (on behalf of LCPF) seeks to have a positive influence in favour of well-run companies whose </w:t>
      </w:r>
      <w:r w:rsidRPr="00F23661">
        <w:rPr>
          <w:rFonts w:ascii="Verdana" w:hAnsi="Verdana" w:cs="NimbusSanL-Regu"/>
          <w:sz w:val="20"/>
          <w:szCs w:val="20"/>
        </w:rPr>
        <w:t>business conduct</w:t>
      </w:r>
      <w:r w:rsidRPr="00F23661">
        <w:rPr>
          <w:rFonts w:ascii="Verdana" w:hAnsi="Verdana" w:cs="NimbusSanL-Regu"/>
          <w:sz w:val="20"/>
          <w:szCs w:val="20"/>
        </w:rPr>
        <w:t xml:space="preserve"> and interests </w:t>
      </w:r>
      <w:r w:rsidRPr="00F23661">
        <w:rPr>
          <w:rFonts w:ascii="Verdana" w:hAnsi="Verdana" w:cs="NimbusSanL-Regu"/>
          <w:sz w:val="20"/>
          <w:szCs w:val="20"/>
        </w:rPr>
        <w:t>align</w:t>
      </w:r>
      <w:r w:rsidRPr="00F23661">
        <w:rPr>
          <w:rFonts w:ascii="Verdana" w:hAnsi="Verdana" w:cs="NimbusSanL-Regu"/>
          <w:sz w:val="20"/>
          <w:szCs w:val="20"/>
        </w:rPr>
        <w:t xml:space="preserve"> with generating long term value for shareholders.</w:t>
      </w:r>
      <w:r w:rsidRPr="00F23661">
        <w:rPr>
          <w:rFonts w:ascii="Verdana" w:hAnsi="Verdana" w:cs="NimbusSanL-Regu"/>
          <w:sz w:val="20"/>
          <w:szCs w:val="20"/>
        </w:rPr>
        <w:t xml:space="preserve"> </w:t>
      </w:r>
    </w:p>
    <w:p w:rsidR="00626882" w:rsidRPr="00F23661" w:rsidRDefault="0070520C" w:rsidP="00197BA3">
      <w:pPr>
        <w:pStyle w:val="treb"/>
        <w:numPr>
          <w:ilvl w:val="0"/>
          <w:numId w:val="0"/>
        </w:numPr>
        <w:spacing w:after="0"/>
        <w:rPr>
          <w:rFonts w:ascii="Verdana" w:hAnsi="Verdana"/>
          <w:color w:val="54BBAB" w:themeColor="text2"/>
          <w:sz w:val="20"/>
          <w:szCs w:val="20"/>
        </w:rPr>
      </w:pPr>
    </w:p>
    <w:p w:rsidR="00197BA3" w:rsidRPr="00F23661" w:rsidRDefault="0070520C" w:rsidP="00220A9C">
      <w:pPr>
        <w:pStyle w:val="treb"/>
        <w:numPr>
          <w:ilvl w:val="0"/>
          <w:numId w:val="5"/>
        </w:numPr>
        <w:spacing w:after="0"/>
        <w:ind w:hanging="72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70520C" w:rsidP="00197BA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F23661" w:rsidRDefault="0070520C" w:rsidP="00794939">
      <w:pPr>
        <w:spacing w:after="0"/>
        <w:rPr>
          <w:rFonts w:ascii="Verdana" w:hAnsi="Verdana"/>
          <w:bCs/>
          <w:sz w:val="20"/>
          <w:szCs w:val="20"/>
        </w:rPr>
      </w:pPr>
      <w:r w:rsidRPr="00F23661">
        <w:rPr>
          <w:rFonts w:ascii="Verdana" w:hAnsi="Verdana" w:cs="NimbusSanL-Regu"/>
          <w:sz w:val="20"/>
          <w:szCs w:val="20"/>
        </w:rPr>
        <w:t xml:space="preserve">The Fund understands </w:t>
      </w:r>
      <w:r w:rsidRPr="00F23661">
        <w:rPr>
          <w:rFonts w:ascii="Verdana" w:hAnsi="Verdana" w:cs="NimbusSanL-Regu"/>
          <w:sz w:val="20"/>
          <w:szCs w:val="20"/>
        </w:rPr>
        <w:t xml:space="preserve">the value of engagement activities which </w:t>
      </w:r>
      <w:r w:rsidRPr="00F23661">
        <w:rPr>
          <w:rFonts w:ascii="Verdana" w:hAnsi="Verdana" w:cs="NimbusSanL-Regu"/>
          <w:sz w:val="20"/>
          <w:szCs w:val="20"/>
        </w:rPr>
        <w:t xml:space="preserve">attempt to </w:t>
      </w:r>
      <w:r w:rsidRPr="00F23661">
        <w:rPr>
          <w:rFonts w:ascii="Verdana" w:hAnsi="Verdana" w:cs="NimbusSanL-Regu"/>
          <w:sz w:val="20"/>
          <w:szCs w:val="20"/>
        </w:rPr>
        <w:t xml:space="preserve">raise specific issues of concern and reinforce the lines taken within shareholder voting. </w:t>
      </w:r>
      <w:r w:rsidRPr="00F23661">
        <w:rPr>
          <w:rFonts w:ascii="Verdana" w:hAnsi="Verdana" w:cs="NimbusSanL-Regu"/>
          <w:sz w:val="20"/>
          <w:szCs w:val="20"/>
        </w:rPr>
        <w:t xml:space="preserve">The </w:t>
      </w:r>
      <w:r w:rsidRPr="00F23661">
        <w:rPr>
          <w:rFonts w:ascii="Verdana" w:hAnsi="Verdana" w:cs="NimbusSanL-Regu"/>
          <w:sz w:val="20"/>
          <w:szCs w:val="20"/>
        </w:rPr>
        <w:t xml:space="preserve">Fund's </w:t>
      </w:r>
      <w:r w:rsidRPr="00F23661">
        <w:rPr>
          <w:rFonts w:ascii="Verdana" w:hAnsi="Verdana"/>
          <w:bCs/>
          <w:sz w:val="20"/>
          <w:szCs w:val="20"/>
        </w:rPr>
        <w:t xml:space="preserve">approach </w:t>
      </w:r>
      <w:r w:rsidRPr="00F23661">
        <w:rPr>
          <w:rFonts w:ascii="Verdana" w:hAnsi="Verdana"/>
          <w:bCs/>
          <w:sz w:val="20"/>
          <w:szCs w:val="20"/>
        </w:rPr>
        <w:t>recogni</w:t>
      </w:r>
      <w:r w:rsidRPr="00F23661">
        <w:rPr>
          <w:rFonts w:ascii="Verdana" w:hAnsi="Verdana"/>
          <w:bCs/>
          <w:sz w:val="20"/>
          <w:szCs w:val="20"/>
        </w:rPr>
        <w:t xml:space="preserve">ses the benefit of partnerships and collaborations which </w:t>
      </w:r>
      <w:r w:rsidRPr="00F23661">
        <w:rPr>
          <w:rFonts w:ascii="Verdana" w:hAnsi="Verdana"/>
          <w:bCs/>
          <w:sz w:val="20"/>
          <w:szCs w:val="20"/>
        </w:rPr>
        <w:t xml:space="preserve">offer greater </w:t>
      </w:r>
      <w:r w:rsidRPr="00F23661">
        <w:rPr>
          <w:rFonts w:ascii="Verdana" w:hAnsi="Verdana"/>
          <w:bCs/>
          <w:sz w:val="20"/>
          <w:szCs w:val="20"/>
        </w:rPr>
        <w:t xml:space="preserve">potential </w:t>
      </w:r>
      <w:r w:rsidRPr="00F23661">
        <w:rPr>
          <w:rFonts w:ascii="Verdana" w:hAnsi="Verdana"/>
          <w:bCs/>
          <w:sz w:val="20"/>
          <w:szCs w:val="20"/>
        </w:rPr>
        <w:t xml:space="preserve">reach and impact than acting alone. </w:t>
      </w:r>
      <w:r w:rsidRPr="00F23661">
        <w:rPr>
          <w:rFonts w:ascii="Verdana" w:hAnsi="Verdana"/>
          <w:bCs/>
          <w:sz w:val="20"/>
          <w:szCs w:val="20"/>
        </w:rPr>
        <w:t xml:space="preserve">LPP I </w:t>
      </w:r>
      <w:r w:rsidRPr="00F23661">
        <w:rPr>
          <w:rFonts w:ascii="Verdana" w:hAnsi="Verdana"/>
          <w:bCs/>
          <w:sz w:val="20"/>
          <w:szCs w:val="20"/>
        </w:rPr>
        <w:t xml:space="preserve">participates </w:t>
      </w:r>
      <w:r w:rsidRPr="00F23661">
        <w:rPr>
          <w:rFonts w:ascii="Verdana" w:hAnsi="Verdana"/>
          <w:bCs/>
          <w:sz w:val="20"/>
          <w:szCs w:val="20"/>
        </w:rPr>
        <w:t xml:space="preserve">in a number of collaborations which </w:t>
      </w:r>
      <w:r w:rsidRPr="00F23661">
        <w:rPr>
          <w:rFonts w:ascii="Verdana" w:hAnsi="Verdana"/>
          <w:bCs/>
          <w:sz w:val="20"/>
          <w:szCs w:val="20"/>
        </w:rPr>
        <w:t xml:space="preserve">represent the </w:t>
      </w:r>
      <w:r w:rsidRPr="00F23661">
        <w:rPr>
          <w:rFonts w:ascii="Verdana" w:hAnsi="Verdana"/>
          <w:bCs/>
          <w:sz w:val="20"/>
          <w:szCs w:val="20"/>
        </w:rPr>
        <w:t xml:space="preserve">collective </w:t>
      </w:r>
      <w:r w:rsidRPr="00F23661">
        <w:rPr>
          <w:rFonts w:ascii="Verdana" w:hAnsi="Verdana"/>
          <w:bCs/>
          <w:sz w:val="20"/>
          <w:szCs w:val="20"/>
        </w:rPr>
        <w:t xml:space="preserve">interests of institutional investors </w:t>
      </w:r>
      <w:r w:rsidRPr="00F23661">
        <w:rPr>
          <w:rFonts w:ascii="Verdana" w:hAnsi="Verdana"/>
          <w:bCs/>
          <w:sz w:val="20"/>
          <w:szCs w:val="20"/>
        </w:rPr>
        <w:t xml:space="preserve">and seek to </w:t>
      </w:r>
      <w:r w:rsidRPr="00F23661">
        <w:rPr>
          <w:rFonts w:ascii="Verdana" w:hAnsi="Verdana"/>
          <w:bCs/>
          <w:sz w:val="20"/>
          <w:szCs w:val="20"/>
        </w:rPr>
        <w:t xml:space="preserve">make progress on issues which impact shareholder value. </w:t>
      </w:r>
      <w:r w:rsidRPr="00F23661">
        <w:rPr>
          <w:rFonts w:ascii="Verdana" w:hAnsi="Verdana"/>
          <w:bCs/>
          <w:sz w:val="20"/>
          <w:szCs w:val="20"/>
        </w:rPr>
        <w:t>Key groups include the Local Author</w:t>
      </w:r>
      <w:r w:rsidRPr="00F23661">
        <w:rPr>
          <w:rFonts w:ascii="Verdana" w:hAnsi="Verdana"/>
          <w:bCs/>
          <w:sz w:val="20"/>
          <w:szCs w:val="20"/>
        </w:rPr>
        <w:t>ity Pensions Fund Forum (LAPFF) the Pensions and Lifetime Savings Association (PLSA) the Principles of Responsible Investment (PRI) and the Institutional Investor Group on Climate Change (IIGCC)</w:t>
      </w:r>
      <w:r w:rsidRPr="00F23661">
        <w:rPr>
          <w:rFonts w:ascii="Verdana" w:hAnsi="Verdana"/>
          <w:bCs/>
          <w:sz w:val="20"/>
          <w:szCs w:val="20"/>
        </w:rPr>
        <w:t>.</w:t>
      </w:r>
    </w:p>
    <w:p w:rsidR="00626882" w:rsidRPr="00F23661" w:rsidRDefault="0070520C" w:rsidP="00794939">
      <w:pPr>
        <w:spacing w:after="0"/>
        <w:rPr>
          <w:rFonts w:ascii="Verdana" w:hAnsi="Verdana"/>
          <w:bCs/>
          <w:sz w:val="20"/>
          <w:szCs w:val="20"/>
        </w:rPr>
      </w:pPr>
    </w:p>
    <w:p w:rsidR="00794939" w:rsidRPr="00F23661" w:rsidRDefault="0070520C" w:rsidP="00042687">
      <w:pPr>
        <w:spacing w:after="0"/>
        <w:rPr>
          <w:rFonts w:ascii="Verdana" w:hAnsi="Verdana" w:cs="Arial"/>
          <w:bCs/>
          <w:sz w:val="20"/>
          <w:szCs w:val="20"/>
        </w:rPr>
      </w:pPr>
      <w:r w:rsidRPr="00F23661">
        <w:rPr>
          <w:rFonts w:ascii="Verdana" w:hAnsi="Verdana"/>
          <w:bCs/>
          <w:sz w:val="20"/>
          <w:szCs w:val="20"/>
        </w:rPr>
        <w:t>LCPF's</w:t>
      </w:r>
      <w:r w:rsidRPr="00F23661">
        <w:rPr>
          <w:rFonts w:ascii="Verdana" w:hAnsi="Verdana"/>
          <w:bCs/>
          <w:sz w:val="20"/>
          <w:szCs w:val="20"/>
        </w:rPr>
        <w:t xml:space="preserve"> </w:t>
      </w:r>
      <w:r w:rsidRPr="00F23661">
        <w:rPr>
          <w:rFonts w:ascii="Verdana" w:hAnsi="Verdana"/>
          <w:bCs/>
          <w:sz w:val="20"/>
          <w:szCs w:val="20"/>
        </w:rPr>
        <w:t xml:space="preserve">principal engagement partner </w:t>
      </w:r>
      <w:r w:rsidRPr="00F23661">
        <w:rPr>
          <w:rFonts w:ascii="Verdana" w:hAnsi="Verdana"/>
          <w:bCs/>
          <w:sz w:val="20"/>
          <w:szCs w:val="20"/>
        </w:rPr>
        <w:t>is LAPFF which exists t</w:t>
      </w:r>
      <w:r w:rsidRPr="00F23661">
        <w:rPr>
          <w:rFonts w:ascii="Verdana" w:hAnsi="Verdana"/>
          <w:bCs/>
          <w:sz w:val="20"/>
          <w:szCs w:val="20"/>
        </w:rPr>
        <w:t xml:space="preserve">o </w:t>
      </w:r>
      <w:r w:rsidRPr="00F23661">
        <w:rPr>
          <w:rFonts w:ascii="Verdana" w:hAnsi="Verdana"/>
          <w:bCs/>
          <w:sz w:val="20"/>
          <w:szCs w:val="20"/>
        </w:rPr>
        <w:t>represent</w:t>
      </w:r>
      <w:r w:rsidRPr="00F23661">
        <w:rPr>
          <w:rFonts w:ascii="Verdana" w:hAnsi="Verdana"/>
          <w:bCs/>
          <w:sz w:val="20"/>
          <w:szCs w:val="20"/>
        </w:rPr>
        <w:t xml:space="preserve"> the</w:t>
      </w:r>
      <w:r w:rsidRPr="00F23661">
        <w:rPr>
          <w:rFonts w:ascii="Verdana" w:hAnsi="Verdana"/>
          <w:bCs/>
          <w:sz w:val="20"/>
          <w:szCs w:val="20"/>
        </w:rPr>
        <w:t xml:space="preserve"> </w:t>
      </w:r>
      <w:r w:rsidRPr="00F23661">
        <w:rPr>
          <w:rFonts w:ascii="Verdana" w:hAnsi="Verdana"/>
          <w:bCs/>
          <w:sz w:val="20"/>
          <w:szCs w:val="20"/>
        </w:rPr>
        <w:t xml:space="preserve">specific </w:t>
      </w:r>
      <w:r w:rsidRPr="00F23661">
        <w:rPr>
          <w:rFonts w:ascii="Verdana" w:hAnsi="Verdana"/>
          <w:bCs/>
          <w:sz w:val="20"/>
          <w:szCs w:val="20"/>
        </w:rPr>
        <w:t xml:space="preserve">investment interests of local authority pension funds as asset owners. </w:t>
      </w:r>
      <w:r w:rsidRPr="00F23661">
        <w:rPr>
          <w:rFonts w:ascii="Verdana" w:eastAsia="Times New Roman" w:hAnsi="Verdana"/>
          <w:bCs/>
          <w:sz w:val="20"/>
          <w:szCs w:val="20"/>
        </w:rPr>
        <w:t>71</w:t>
      </w:r>
      <w:r w:rsidRPr="00F23661">
        <w:rPr>
          <w:rFonts w:ascii="Verdana" w:eastAsia="Times New Roman" w:hAnsi="Verdana"/>
          <w:bCs/>
          <w:sz w:val="20"/>
          <w:szCs w:val="20"/>
        </w:rPr>
        <w:t xml:space="preserve"> of the 89 LGPS funds are </w:t>
      </w:r>
      <w:r w:rsidRPr="00F23661">
        <w:rPr>
          <w:rFonts w:ascii="Verdana" w:eastAsia="Times New Roman" w:hAnsi="Verdana"/>
          <w:bCs/>
          <w:sz w:val="20"/>
          <w:szCs w:val="20"/>
        </w:rPr>
        <w:t xml:space="preserve">now </w:t>
      </w:r>
      <w:r w:rsidRPr="00F23661">
        <w:rPr>
          <w:rFonts w:ascii="Verdana" w:eastAsia="Times New Roman" w:hAnsi="Verdana"/>
          <w:bCs/>
          <w:sz w:val="20"/>
          <w:szCs w:val="20"/>
        </w:rPr>
        <w:t xml:space="preserve">LAPFF </w:t>
      </w:r>
      <w:r w:rsidRPr="00F23661">
        <w:rPr>
          <w:rFonts w:ascii="Verdana" w:eastAsia="Times New Roman" w:hAnsi="Verdana"/>
          <w:bCs/>
          <w:sz w:val="20"/>
          <w:szCs w:val="20"/>
        </w:rPr>
        <w:t>members.</w:t>
      </w:r>
      <w:r w:rsidRPr="00F23661">
        <w:rPr>
          <w:rFonts w:ascii="Verdana" w:hAnsi="Verdana"/>
          <w:bCs/>
          <w:sz w:val="20"/>
          <w:szCs w:val="20"/>
        </w:rPr>
        <w:t xml:space="preserve"> </w:t>
      </w:r>
      <w:r w:rsidRPr="00F23661">
        <w:rPr>
          <w:rFonts w:ascii="Verdana" w:hAnsi="Verdana" w:cs="Arial"/>
          <w:bCs/>
          <w:sz w:val="20"/>
          <w:szCs w:val="20"/>
        </w:rPr>
        <w:t xml:space="preserve">On a quarterly basis LAPFF provides member funds with a summary of the engagement activities undertaken on their behalf. </w:t>
      </w:r>
      <w:r w:rsidRPr="00F23661">
        <w:rPr>
          <w:rFonts w:ascii="Verdana" w:hAnsi="Verdana" w:cs="Arial"/>
          <w:bCs/>
          <w:sz w:val="20"/>
          <w:szCs w:val="20"/>
        </w:rPr>
        <w:t>A copy of LAPFF's Q</w:t>
      </w:r>
      <w:r w:rsidRPr="00F23661">
        <w:rPr>
          <w:rFonts w:ascii="Verdana" w:hAnsi="Verdana" w:cs="Arial"/>
          <w:bCs/>
          <w:sz w:val="20"/>
          <w:szCs w:val="20"/>
        </w:rPr>
        <w:t>3</w:t>
      </w:r>
      <w:r w:rsidRPr="00F23661">
        <w:rPr>
          <w:rFonts w:ascii="Verdana" w:hAnsi="Verdana" w:cs="Arial"/>
          <w:bCs/>
          <w:sz w:val="20"/>
          <w:szCs w:val="20"/>
        </w:rPr>
        <w:t xml:space="preserve"> 2016 engagement report is attached at </w:t>
      </w:r>
      <w:r w:rsidRPr="004D44CF">
        <w:rPr>
          <w:rFonts w:ascii="Verdana" w:hAnsi="Verdana" w:cs="Arial"/>
          <w:b/>
          <w:bCs/>
          <w:sz w:val="20"/>
          <w:szCs w:val="20"/>
        </w:rPr>
        <w:t>Appendix 1</w:t>
      </w:r>
      <w:r w:rsidRPr="00F23661">
        <w:rPr>
          <w:rFonts w:ascii="Verdana" w:hAnsi="Verdana" w:cs="Arial"/>
          <w:bCs/>
          <w:sz w:val="20"/>
          <w:szCs w:val="20"/>
        </w:rPr>
        <w:t xml:space="preserve">.  </w:t>
      </w:r>
      <w:r w:rsidRPr="00F23661">
        <w:rPr>
          <w:rFonts w:ascii="Verdana" w:hAnsi="Verdana" w:cs="Arial"/>
          <w:sz w:val="20"/>
          <w:szCs w:val="20"/>
        </w:rPr>
        <w:t>Highlights from th</w:t>
      </w:r>
      <w:r w:rsidRPr="00F23661">
        <w:rPr>
          <w:rFonts w:ascii="Verdana" w:hAnsi="Verdana" w:cs="Arial"/>
          <w:sz w:val="20"/>
          <w:szCs w:val="20"/>
        </w:rPr>
        <w:t>e</w:t>
      </w:r>
      <w:r w:rsidRPr="00F23661">
        <w:rPr>
          <w:rFonts w:ascii="Verdana" w:hAnsi="Verdana" w:cs="Arial"/>
          <w:sz w:val="20"/>
          <w:szCs w:val="20"/>
        </w:rPr>
        <w:t xml:space="preserve"> report </w:t>
      </w:r>
      <w:r w:rsidRPr="00F23661">
        <w:rPr>
          <w:rFonts w:ascii="Verdana" w:hAnsi="Verdana" w:cs="Arial"/>
          <w:sz w:val="20"/>
          <w:szCs w:val="20"/>
        </w:rPr>
        <w:t>which covers</w:t>
      </w:r>
      <w:r w:rsidRPr="00F23661">
        <w:rPr>
          <w:rFonts w:ascii="Verdana" w:hAnsi="Verdana" w:cs="Arial"/>
          <w:sz w:val="20"/>
          <w:szCs w:val="20"/>
        </w:rPr>
        <w:t xml:space="preserve"> the </w:t>
      </w:r>
      <w:r w:rsidRPr="00F23661">
        <w:rPr>
          <w:rFonts w:ascii="Verdana" w:hAnsi="Verdana" w:cs="Arial"/>
          <w:bCs/>
          <w:sz w:val="20"/>
          <w:szCs w:val="20"/>
        </w:rPr>
        <w:t xml:space="preserve">period from 1 </w:t>
      </w:r>
      <w:r w:rsidRPr="00F23661">
        <w:rPr>
          <w:rFonts w:ascii="Verdana" w:hAnsi="Verdana" w:cs="Arial"/>
          <w:bCs/>
          <w:sz w:val="20"/>
          <w:szCs w:val="20"/>
        </w:rPr>
        <w:t xml:space="preserve">July </w:t>
      </w:r>
      <w:r w:rsidRPr="00F23661">
        <w:rPr>
          <w:rFonts w:ascii="Verdana" w:hAnsi="Verdana" w:cs="Arial"/>
          <w:bCs/>
          <w:sz w:val="20"/>
          <w:szCs w:val="20"/>
        </w:rPr>
        <w:t xml:space="preserve">to 30 </w:t>
      </w:r>
      <w:r w:rsidRPr="00F23661">
        <w:rPr>
          <w:rFonts w:ascii="Verdana" w:hAnsi="Verdana" w:cs="Arial"/>
          <w:bCs/>
          <w:sz w:val="20"/>
          <w:szCs w:val="20"/>
        </w:rPr>
        <w:t>September</w:t>
      </w:r>
      <w:r w:rsidRPr="00F23661">
        <w:rPr>
          <w:rFonts w:ascii="Verdana" w:hAnsi="Verdana" w:cs="Arial"/>
          <w:bCs/>
          <w:sz w:val="20"/>
          <w:szCs w:val="20"/>
        </w:rPr>
        <w:t xml:space="preserve"> 2016 include</w:t>
      </w:r>
      <w:r w:rsidRPr="00F23661">
        <w:rPr>
          <w:rFonts w:ascii="Verdana" w:hAnsi="Verdana" w:cs="Arial"/>
          <w:bCs/>
          <w:sz w:val="20"/>
          <w:szCs w:val="20"/>
        </w:rPr>
        <w:t xml:space="preserve"> the following</w:t>
      </w:r>
      <w:r w:rsidRPr="00F23661">
        <w:rPr>
          <w:rFonts w:ascii="Verdana" w:hAnsi="Verdana" w:cs="Arial"/>
          <w:bCs/>
          <w:sz w:val="20"/>
          <w:szCs w:val="20"/>
        </w:rPr>
        <w:t xml:space="preserve">: </w:t>
      </w:r>
    </w:p>
    <w:p w:rsidR="00042687" w:rsidRPr="00F23661" w:rsidRDefault="0070520C" w:rsidP="00042687">
      <w:pPr>
        <w:spacing w:after="0"/>
        <w:rPr>
          <w:rFonts w:ascii="Verdana" w:hAnsi="Verdana"/>
          <w:bCs/>
          <w:sz w:val="20"/>
          <w:szCs w:val="20"/>
        </w:rPr>
      </w:pPr>
    </w:p>
    <w:p w:rsidR="00042687" w:rsidRPr="00F23661" w:rsidRDefault="0070520C" w:rsidP="00220A9C">
      <w:pPr>
        <w:pStyle w:val="ListParagraph"/>
        <w:numPr>
          <w:ilvl w:val="0"/>
          <w:numId w:val="7"/>
        </w:numPr>
        <w:spacing w:after="0" w:line="240" w:lineRule="auto"/>
        <w:ind w:left="426" w:hanging="426"/>
        <w:jc w:val="both"/>
        <w:rPr>
          <w:rFonts w:ascii="Verdana" w:hAnsi="Verdana"/>
          <w:bCs/>
          <w:sz w:val="20"/>
          <w:szCs w:val="20"/>
        </w:rPr>
      </w:pPr>
      <w:r w:rsidRPr="00F23661">
        <w:rPr>
          <w:rFonts w:ascii="Verdana" w:hAnsi="Verdana"/>
          <w:bCs/>
          <w:sz w:val="20"/>
          <w:szCs w:val="20"/>
        </w:rPr>
        <w:t xml:space="preserve">the launch of "Engaging for a Low Carbon Transition" a joint report from LAPPF and the Carbon Tracker Initiative which provides practical support for investors engaging with companies on their preparedness for </w:t>
      </w:r>
      <w:r w:rsidRPr="00F23661">
        <w:rPr>
          <w:rFonts w:ascii="Verdana" w:hAnsi="Verdana"/>
          <w:bCs/>
          <w:sz w:val="20"/>
          <w:szCs w:val="20"/>
        </w:rPr>
        <w:t>a 2°c world;</w:t>
      </w:r>
    </w:p>
    <w:p w:rsidR="00042687" w:rsidRPr="00F23661" w:rsidRDefault="0070520C" w:rsidP="00220A9C">
      <w:pPr>
        <w:pStyle w:val="ListParagraph"/>
        <w:numPr>
          <w:ilvl w:val="0"/>
          <w:numId w:val="7"/>
        </w:numPr>
        <w:spacing w:after="0" w:line="240" w:lineRule="auto"/>
        <w:ind w:left="426" w:hanging="426"/>
        <w:jc w:val="both"/>
        <w:rPr>
          <w:rFonts w:ascii="Verdana" w:hAnsi="Verdana"/>
          <w:bCs/>
          <w:sz w:val="20"/>
          <w:szCs w:val="20"/>
        </w:rPr>
      </w:pPr>
      <w:r w:rsidRPr="00F23661">
        <w:rPr>
          <w:rFonts w:ascii="Verdana" w:hAnsi="Verdana"/>
          <w:bCs/>
          <w:sz w:val="20"/>
          <w:szCs w:val="20"/>
        </w:rPr>
        <w:t>AGM attendance at Sports Direct, SSE, Sainsbury, BT, British Land, Vodaphone, National Grid and Vedanta;</w:t>
      </w:r>
    </w:p>
    <w:p w:rsidR="00042687" w:rsidRPr="00F23661" w:rsidRDefault="0070520C" w:rsidP="00220A9C">
      <w:pPr>
        <w:pStyle w:val="ListParagraph"/>
        <w:numPr>
          <w:ilvl w:val="0"/>
          <w:numId w:val="7"/>
        </w:numPr>
        <w:spacing w:after="0" w:line="240" w:lineRule="auto"/>
        <w:ind w:left="426" w:hanging="426"/>
        <w:jc w:val="both"/>
        <w:rPr>
          <w:rFonts w:ascii="Verdana" w:hAnsi="Verdana"/>
          <w:bCs/>
          <w:sz w:val="20"/>
          <w:szCs w:val="20"/>
        </w:rPr>
      </w:pPr>
      <w:r w:rsidRPr="00F23661">
        <w:rPr>
          <w:rFonts w:ascii="Verdana" w:hAnsi="Verdana"/>
          <w:bCs/>
          <w:sz w:val="20"/>
          <w:szCs w:val="20"/>
        </w:rPr>
        <w:t>Media attention for LAPFF's campaign on reliable accounting and the critical stance being taken to the response of the Financial Reporting</w:t>
      </w:r>
      <w:r w:rsidRPr="00F23661">
        <w:rPr>
          <w:rFonts w:ascii="Verdana" w:hAnsi="Verdana"/>
          <w:bCs/>
          <w:sz w:val="20"/>
          <w:szCs w:val="20"/>
        </w:rPr>
        <w:t xml:space="preserve"> Council;</w:t>
      </w:r>
    </w:p>
    <w:p w:rsidR="00042687" w:rsidRPr="00F23661" w:rsidRDefault="0070520C" w:rsidP="00220A9C">
      <w:pPr>
        <w:pStyle w:val="ListParagraph"/>
        <w:numPr>
          <w:ilvl w:val="0"/>
          <w:numId w:val="7"/>
        </w:numPr>
        <w:spacing w:after="0" w:line="240" w:lineRule="auto"/>
        <w:ind w:left="426" w:hanging="426"/>
        <w:jc w:val="both"/>
        <w:rPr>
          <w:rFonts w:ascii="Verdana" w:hAnsi="Verdana"/>
          <w:bCs/>
          <w:sz w:val="20"/>
          <w:szCs w:val="20"/>
        </w:rPr>
      </w:pPr>
      <w:r w:rsidRPr="00F23661">
        <w:rPr>
          <w:rFonts w:ascii="Verdana" w:hAnsi="Verdana"/>
          <w:bCs/>
          <w:sz w:val="20"/>
          <w:szCs w:val="20"/>
        </w:rPr>
        <w:t xml:space="preserve">Direct engagements with 21 companies across a range of themes; </w:t>
      </w:r>
    </w:p>
    <w:p w:rsidR="00042687" w:rsidRPr="00F23661" w:rsidRDefault="0070520C" w:rsidP="00220A9C">
      <w:pPr>
        <w:pStyle w:val="ListParagraph"/>
        <w:numPr>
          <w:ilvl w:val="0"/>
          <w:numId w:val="7"/>
        </w:numPr>
        <w:spacing w:after="0" w:line="240" w:lineRule="auto"/>
        <w:ind w:left="426" w:hanging="426"/>
        <w:jc w:val="both"/>
        <w:rPr>
          <w:rFonts w:ascii="Verdana" w:hAnsi="Verdana"/>
          <w:bCs/>
          <w:sz w:val="20"/>
          <w:szCs w:val="20"/>
        </w:rPr>
      </w:pPr>
      <w:r w:rsidRPr="00F23661">
        <w:rPr>
          <w:rFonts w:ascii="Verdana" w:hAnsi="Verdana"/>
          <w:bCs/>
          <w:sz w:val="20"/>
          <w:szCs w:val="20"/>
        </w:rPr>
        <w:t xml:space="preserve">Engagement on climate change with National Grid, BP and Anglo American in addition to a continuing participation within the broader "Aiming for A" Coalition. </w:t>
      </w:r>
    </w:p>
    <w:p w:rsidR="00042687" w:rsidRPr="00F23661" w:rsidRDefault="0070520C" w:rsidP="00794939">
      <w:pPr>
        <w:spacing w:after="0"/>
        <w:contextualSpacing/>
        <w:jc w:val="both"/>
        <w:rPr>
          <w:rFonts w:ascii="Verdana" w:hAnsi="Verdana" w:cs="Arial"/>
          <w:bCs/>
          <w:sz w:val="20"/>
          <w:szCs w:val="20"/>
        </w:rPr>
      </w:pPr>
    </w:p>
    <w:p w:rsidR="0030477F" w:rsidRDefault="0070520C" w:rsidP="009674D1">
      <w:pPr>
        <w:autoSpaceDE w:val="0"/>
        <w:autoSpaceDN w:val="0"/>
        <w:adjustRightInd w:val="0"/>
        <w:spacing w:after="0" w:line="240" w:lineRule="auto"/>
        <w:rPr>
          <w:rFonts w:ascii="Verdana" w:hAnsi="Verdana" w:cs="Seravek-Light"/>
          <w:sz w:val="20"/>
          <w:szCs w:val="20"/>
        </w:rPr>
      </w:pPr>
      <w:r w:rsidRPr="00F23661">
        <w:rPr>
          <w:rFonts w:ascii="Verdana" w:hAnsi="Verdana" w:cs="NimbusSanL-Regu"/>
          <w:sz w:val="20"/>
          <w:szCs w:val="20"/>
        </w:rPr>
        <w:t xml:space="preserve">The </w:t>
      </w:r>
      <w:r w:rsidRPr="00F23661">
        <w:rPr>
          <w:rFonts w:ascii="Verdana" w:hAnsi="Verdana" w:cs="NimbusSanL-Regu"/>
          <w:sz w:val="20"/>
          <w:szCs w:val="20"/>
        </w:rPr>
        <w:t xml:space="preserve">LAPFF </w:t>
      </w:r>
      <w:r w:rsidRPr="00F23661">
        <w:rPr>
          <w:rFonts w:ascii="Verdana" w:hAnsi="Verdana" w:cs="NimbusSanL-Regu"/>
          <w:sz w:val="20"/>
          <w:szCs w:val="20"/>
        </w:rPr>
        <w:t xml:space="preserve">Engagement Report </w:t>
      </w:r>
      <w:r w:rsidRPr="00F23661">
        <w:rPr>
          <w:rFonts w:ascii="Verdana" w:hAnsi="Verdana" w:cs="NimbusSanL-Regu"/>
          <w:sz w:val="20"/>
          <w:szCs w:val="20"/>
        </w:rPr>
        <w:t>includes</w:t>
      </w:r>
      <w:r w:rsidRPr="00F23661">
        <w:rPr>
          <w:rFonts w:ascii="Verdana" w:hAnsi="Verdana" w:cs="NimbusSanL-Regu"/>
          <w:sz w:val="20"/>
          <w:szCs w:val="20"/>
        </w:rPr>
        <w:t xml:space="preserve"> detailed </w:t>
      </w:r>
      <w:r w:rsidRPr="00F23661">
        <w:rPr>
          <w:rFonts w:ascii="Verdana" w:hAnsi="Verdana" w:cs="NimbusSanL-Regu"/>
          <w:sz w:val="20"/>
          <w:szCs w:val="20"/>
        </w:rPr>
        <w:t>information</w:t>
      </w:r>
      <w:r w:rsidRPr="00F23661">
        <w:rPr>
          <w:rFonts w:ascii="Verdana" w:hAnsi="Verdana" w:cs="NimbusSanL-Regu"/>
          <w:sz w:val="20"/>
          <w:szCs w:val="20"/>
        </w:rPr>
        <w:t xml:space="preserve"> on </w:t>
      </w:r>
      <w:r w:rsidRPr="00F23661">
        <w:rPr>
          <w:rFonts w:ascii="Verdana" w:hAnsi="Verdana" w:cs="NimbusSanL-Regu"/>
          <w:sz w:val="20"/>
          <w:szCs w:val="20"/>
        </w:rPr>
        <w:t>engagement activities</w:t>
      </w:r>
      <w:r w:rsidRPr="00F23661">
        <w:rPr>
          <w:rFonts w:ascii="Verdana" w:hAnsi="Verdana" w:cs="NimbusSanL-Regu"/>
          <w:sz w:val="20"/>
          <w:szCs w:val="20"/>
        </w:rPr>
        <w:t xml:space="preserve"> within </w:t>
      </w:r>
      <w:r w:rsidRPr="00F23661">
        <w:rPr>
          <w:rFonts w:ascii="Verdana" w:hAnsi="Verdana" w:cs="NimbusSanL-Regu"/>
          <w:sz w:val="20"/>
          <w:szCs w:val="20"/>
        </w:rPr>
        <w:t>the quarter</w:t>
      </w:r>
      <w:r w:rsidRPr="00F23661">
        <w:rPr>
          <w:rFonts w:ascii="Verdana" w:hAnsi="Verdana" w:cs="NimbusSanL-Regu"/>
          <w:sz w:val="20"/>
          <w:szCs w:val="20"/>
        </w:rPr>
        <w:t xml:space="preserve"> </w:t>
      </w:r>
      <w:r w:rsidRPr="00F23661">
        <w:rPr>
          <w:rFonts w:ascii="Verdana" w:hAnsi="Verdana" w:cs="NimbusSanL-Regu"/>
          <w:sz w:val="20"/>
          <w:szCs w:val="20"/>
        </w:rPr>
        <w:t>which are q</w:t>
      </w:r>
      <w:r w:rsidRPr="00F23661">
        <w:rPr>
          <w:rFonts w:ascii="Verdana" w:hAnsi="Verdana" w:cs="Seravek-Light"/>
          <w:sz w:val="20"/>
          <w:szCs w:val="20"/>
        </w:rPr>
        <w:t>uantifi</w:t>
      </w:r>
      <w:r w:rsidRPr="00F23661">
        <w:rPr>
          <w:rFonts w:ascii="Verdana" w:hAnsi="Verdana" w:cs="Seravek-Light"/>
          <w:sz w:val="20"/>
          <w:szCs w:val="20"/>
        </w:rPr>
        <w:t>ed</w:t>
      </w:r>
      <w:r w:rsidRPr="00F23661">
        <w:rPr>
          <w:rFonts w:ascii="Verdana" w:hAnsi="Verdana" w:cs="Seravek-Light"/>
          <w:sz w:val="20"/>
          <w:szCs w:val="20"/>
        </w:rPr>
        <w:t xml:space="preserve"> across thematic topics</w:t>
      </w:r>
      <w:r w:rsidRPr="00F23661">
        <w:rPr>
          <w:rFonts w:ascii="Verdana" w:hAnsi="Verdana" w:cs="Seravek-Light"/>
          <w:sz w:val="20"/>
          <w:szCs w:val="20"/>
        </w:rPr>
        <w:t xml:space="preserve"> </w:t>
      </w:r>
      <w:r w:rsidRPr="00F23661">
        <w:rPr>
          <w:rFonts w:ascii="Verdana" w:hAnsi="Verdana" w:cs="Seravek-Light"/>
          <w:sz w:val="20"/>
          <w:szCs w:val="20"/>
        </w:rPr>
        <w:t>as follows</w:t>
      </w:r>
      <w:r w:rsidRPr="00F23661">
        <w:rPr>
          <w:rFonts w:ascii="Verdana" w:hAnsi="Verdana" w:cs="Seravek-Light"/>
          <w:sz w:val="20"/>
          <w:szCs w:val="20"/>
        </w:rPr>
        <w:t>:</w:t>
      </w:r>
      <w:r w:rsidRPr="00F23661">
        <w:rPr>
          <w:rFonts w:ascii="Verdana" w:hAnsi="Verdana" w:cs="Seravek-Light"/>
          <w:sz w:val="20"/>
          <w:szCs w:val="20"/>
        </w:rPr>
        <w:t xml:space="preserve"> </w:t>
      </w:r>
    </w:p>
    <w:p w:rsidR="002A4F1A" w:rsidRDefault="0070520C" w:rsidP="009674D1">
      <w:pPr>
        <w:autoSpaceDE w:val="0"/>
        <w:autoSpaceDN w:val="0"/>
        <w:adjustRightInd w:val="0"/>
        <w:spacing w:after="0" w:line="240" w:lineRule="auto"/>
        <w:rPr>
          <w:rFonts w:ascii="Verdana" w:hAnsi="Verdana" w:cs="Seravek-Light"/>
          <w:sz w:val="20"/>
          <w:szCs w:val="20"/>
        </w:rPr>
      </w:pPr>
    </w:p>
    <w:tbl>
      <w:tblPr>
        <w:tblW w:w="5139" w:type="dxa"/>
        <w:jc w:val="center"/>
        <w:tblLook w:val="04A0" w:firstRow="1" w:lastRow="0" w:firstColumn="1" w:lastColumn="0" w:noHBand="0" w:noVBand="1"/>
      </w:tblPr>
      <w:tblGrid>
        <w:gridCol w:w="3100"/>
        <w:gridCol w:w="1226"/>
        <w:gridCol w:w="813"/>
      </w:tblGrid>
      <w:tr w:rsidR="00817C88" w:rsidTr="004D44CF">
        <w:trPr>
          <w:trHeight w:val="784"/>
          <w:jc w:val="center"/>
        </w:trPr>
        <w:tc>
          <w:tcPr>
            <w:tcW w:w="3100" w:type="dxa"/>
            <w:tcBorders>
              <w:top w:val="nil"/>
              <w:left w:val="nil"/>
              <w:bottom w:val="nil"/>
              <w:right w:val="nil"/>
            </w:tcBorders>
            <w:shd w:val="clear" w:color="auto" w:fill="auto"/>
            <w:noWrap/>
            <w:vAlign w:val="bottom"/>
            <w:hideMark/>
          </w:tcPr>
          <w:p w:rsidR="00B120C7"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Engagement Topic</w:t>
            </w:r>
          </w:p>
          <w:p w:rsidR="004D44CF" w:rsidRDefault="0070520C" w:rsidP="00B120C7">
            <w:pPr>
              <w:spacing w:after="0" w:line="240" w:lineRule="auto"/>
              <w:rPr>
                <w:rFonts w:ascii="Verdana" w:eastAsia="Times New Roman" w:hAnsi="Verdana" w:cs="Times New Roman"/>
                <w:color w:val="000000"/>
                <w:sz w:val="20"/>
                <w:szCs w:val="20"/>
                <w:lang w:eastAsia="en-GB"/>
              </w:rPr>
            </w:pPr>
          </w:p>
          <w:p w:rsidR="004D44CF" w:rsidRDefault="0070520C" w:rsidP="00B120C7">
            <w:pPr>
              <w:spacing w:after="0" w:line="240" w:lineRule="auto"/>
              <w:rPr>
                <w:rFonts w:ascii="Verdana" w:eastAsia="Times New Roman" w:hAnsi="Verdana" w:cs="Times New Roman"/>
                <w:color w:val="000000"/>
                <w:sz w:val="20"/>
                <w:szCs w:val="20"/>
                <w:lang w:eastAsia="en-GB"/>
              </w:rPr>
            </w:pPr>
          </w:p>
          <w:p w:rsidR="004D44CF" w:rsidRPr="00F23661" w:rsidRDefault="0070520C" w:rsidP="00B120C7">
            <w:pPr>
              <w:spacing w:after="0" w:line="240" w:lineRule="auto"/>
              <w:rPr>
                <w:rFonts w:ascii="Verdana" w:eastAsia="Times New Roman" w:hAnsi="Verdana" w:cs="Times New Roman"/>
                <w:color w:val="000000"/>
                <w:sz w:val="20"/>
                <w:szCs w:val="20"/>
                <w:lang w:eastAsia="en-GB"/>
              </w:rPr>
            </w:pPr>
          </w:p>
        </w:tc>
        <w:tc>
          <w:tcPr>
            <w:tcW w:w="2039" w:type="dxa"/>
            <w:gridSpan w:val="2"/>
            <w:tcBorders>
              <w:top w:val="nil"/>
              <w:left w:val="nil"/>
              <w:bottom w:val="nil"/>
              <w:right w:val="nil"/>
            </w:tcBorders>
            <w:shd w:val="clear" w:color="auto" w:fill="auto"/>
            <w:vAlign w:val="bottom"/>
            <w:hideMark/>
          </w:tcPr>
          <w:p w:rsidR="00B120C7" w:rsidRDefault="0070520C" w:rsidP="00B120C7">
            <w:pPr>
              <w:spacing w:after="0" w:line="240" w:lineRule="auto"/>
              <w:jc w:val="center"/>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Number of Engagements by LAPFF</w:t>
            </w:r>
          </w:p>
          <w:p w:rsidR="004D44CF" w:rsidRDefault="0070520C" w:rsidP="00B120C7">
            <w:pPr>
              <w:spacing w:after="0" w:line="240" w:lineRule="auto"/>
              <w:jc w:val="center"/>
              <w:rPr>
                <w:rFonts w:ascii="Verdana" w:eastAsia="Times New Roman" w:hAnsi="Verdana" w:cs="Times New Roman"/>
                <w:color w:val="000000"/>
                <w:sz w:val="20"/>
                <w:szCs w:val="20"/>
                <w:lang w:eastAsia="en-GB"/>
              </w:rPr>
            </w:pPr>
          </w:p>
          <w:p w:rsidR="004D44CF" w:rsidRPr="00F23661" w:rsidRDefault="0070520C" w:rsidP="00B120C7">
            <w:pPr>
              <w:spacing w:after="0" w:line="240" w:lineRule="auto"/>
              <w:jc w:val="center"/>
              <w:rPr>
                <w:rFonts w:ascii="Verdana" w:eastAsia="Times New Roman" w:hAnsi="Verdana" w:cs="Times New Roman"/>
                <w:color w:val="000000"/>
                <w:sz w:val="20"/>
                <w:szCs w:val="20"/>
                <w:lang w:eastAsia="en-GB"/>
              </w:rPr>
            </w:pP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Governance (general)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11</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23%</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Board composition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8</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17%</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Climate change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7</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15%</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Employment standards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5</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10%</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Remuneration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5</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10%</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lastRenderedPageBreak/>
              <w:t xml:space="preserve">Human rights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5</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10%</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Other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3</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6%</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Environmental risk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4%</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Supply chain management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 xml:space="preserve">Campaign (general) </w:t>
            </w:r>
          </w:p>
        </w:tc>
        <w:tc>
          <w:tcPr>
            <w:tcW w:w="1226"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w:t>
            </w:r>
          </w:p>
        </w:tc>
        <w:tc>
          <w:tcPr>
            <w:tcW w:w="813"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2%</w:t>
            </w:r>
          </w:p>
        </w:tc>
      </w:tr>
      <w:tr w:rsidR="00817C88" w:rsidTr="004D44CF">
        <w:trPr>
          <w:trHeight w:val="300"/>
          <w:jc w:val="center"/>
        </w:trPr>
        <w:tc>
          <w:tcPr>
            <w:tcW w:w="3100" w:type="dxa"/>
            <w:tcBorders>
              <w:top w:val="nil"/>
              <w:left w:val="nil"/>
              <w:bottom w:val="nil"/>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p>
        </w:tc>
        <w:tc>
          <w:tcPr>
            <w:tcW w:w="1226" w:type="dxa"/>
            <w:tcBorders>
              <w:top w:val="single" w:sz="4" w:space="0" w:color="auto"/>
              <w:left w:val="nil"/>
              <w:bottom w:val="single" w:sz="4" w:space="0" w:color="auto"/>
              <w:right w:val="nil"/>
            </w:tcBorders>
            <w:shd w:val="clear" w:color="auto" w:fill="auto"/>
            <w:noWrap/>
            <w:vAlign w:val="bottom"/>
            <w:hideMark/>
          </w:tcPr>
          <w:p w:rsidR="00B120C7" w:rsidRPr="00F23661" w:rsidRDefault="0070520C" w:rsidP="00B120C7">
            <w:pPr>
              <w:spacing w:after="0" w:line="240" w:lineRule="auto"/>
              <w:ind w:firstLineChars="200" w:firstLine="400"/>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48</w:t>
            </w:r>
          </w:p>
        </w:tc>
        <w:tc>
          <w:tcPr>
            <w:tcW w:w="813" w:type="dxa"/>
            <w:tcBorders>
              <w:top w:val="single" w:sz="4" w:space="0" w:color="auto"/>
              <w:left w:val="nil"/>
              <w:bottom w:val="single" w:sz="4" w:space="0" w:color="auto"/>
              <w:right w:val="nil"/>
            </w:tcBorders>
            <w:shd w:val="clear" w:color="auto" w:fill="auto"/>
            <w:noWrap/>
            <w:vAlign w:val="bottom"/>
            <w:hideMark/>
          </w:tcPr>
          <w:p w:rsidR="00B120C7" w:rsidRPr="00F23661" w:rsidRDefault="0070520C" w:rsidP="00B120C7">
            <w:pPr>
              <w:spacing w:after="0" w:line="240" w:lineRule="auto"/>
              <w:jc w:val="right"/>
              <w:rPr>
                <w:rFonts w:ascii="Verdana" w:eastAsia="Times New Roman" w:hAnsi="Verdana" w:cs="Times New Roman"/>
                <w:color w:val="000000"/>
                <w:sz w:val="20"/>
                <w:szCs w:val="20"/>
                <w:lang w:eastAsia="en-GB"/>
              </w:rPr>
            </w:pPr>
            <w:r w:rsidRPr="00F23661">
              <w:rPr>
                <w:rFonts w:ascii="Verdana" w:eastAsia="Times New Roman" w:hAnsi="Verdana" w:cs="Times New Roman"/>
                <w:color w:val="000000"/>
                <w:sz w:val="20"/>
                <w:szCs w:val="20"/>
                <w:lang w:eastAsia="en-GB"/>
              </w:rPr>
              <w:t>100%</w:t>
            </w:r>
          </w:p>
        </w:tc>
      </w:tr>
    </w:tbl>
    <w:p w:rsidR="00B120C7" w:rsidRPr="00F23661" w:rsidRDefault="0070520C" w:rsidP="00B120C7">
      <w:pPr>
        <w:autoSpaceDE w:val="0"/>
        <w:autoSpaceDN w:val="0"/>
        <w:adjustRightInd w:val="0"/>
        <w:spacing w:after="0" w:line="240" w:lineRule="auto"/>
        <w:jc w:val="center"/>
        <w:rPr>
          <w:rFonts w:ascii="Verdana" w:hAnsi="Verdana" w:cs="Seravek-Light"/>
          <w:sz w:val="20"/>
          <w:szCs w:val="20"/>
        </w:rPr>
      </w:pPr>
    </w:p>
    <w:p w:rsidR="00491E36" w:rsidRPr="00F23661" w:rsidRDefault="0070520C" w:rsidP="006F7649">
      <w:pPr>
        <w:widowControl w:val="0"/>
        <w:spacing w:after="0"/>
        <w:outlineLvl w:val="0"/>
        <w:rPr>
          <w:rFonts w:ascii="Verdana" w:eastAsia="Times New Roman" w:hAnsi="Verdana"/>
          <w:bCs/>
          <w:sz w:val="20"/>
          <w:szCs w:val="20"/>
        </w:rPr>
      </w:pPr>
    </w:p>
    <w:p w:rsidR="006F7649" w:rsidRPr="00F23661" w:rsidRDefault="0070520C" w:rsidP="006F7649">
      <w:pPr>
        <w:widowControl w:val="0"/>
        <w:spacing w:after="0"/>
        <w:outlineLvl w:val="0"/>
        <w:rPr>
          <w:rFonts w:ascii="Verdana" w:eastAsia="Times New Roman" w:hAnsi="Verdana"/>
          <w:bCs/>
          <w:sz w:val="20"/>
          <w:szCs w:val="20"/>
        </w:rPr>
      </w:pPr>
      <w:r w:rsidRPr="00F23661">
        <w:rPr>
          <w:rFonts w:ascii="Verdana" w:eastAsia="Times New Roman" w:hAnsi="Verdana"/>
          <w:bCs/>
          <w:sz w:val="20"/>
          <w:szCs w:val="20"/>
        </w:rPr>
        <w:t xml:space="preserve">LPP I represents </w:t>
      </w:r>
      <w:r w:rsidRPr="00F23661">
        <w:rPr>
          <w:rFonts w:ascii="Verdana" w:eastAsia="Times New Roman" w:hAnsi="Verdana"/>
          <w:bCs/>
          <w:sz w:val="20"/>
          <w:szCs w:val="20"/>
        </w:rPr>
        <w:t xml:space="preserve">LCPF </w:t>
      </w:r>
      <w:r w:rsidRPr="00F23661">
        <w:rPr>
          <w:rFonts w:ascii="Verdana" w:eastAsia="Times New Roman" w:hAnsi="Verdana"/>
          <w:bCs/>
          <w:sz w:val="20"/>
          <w:szCs w:val="20"/>
        </w:rPr>
        <w:t xml:space="preserve">as </w:t>
      </w:r>
      <w:r w:rsidRPr="00F23661">
        <w:rPr>
          <w:rFonts w:ascii="Verdana" w:eastAsia="Times New Roman" w:hAnsi="Verdana"/>
          <w:bCs/>
          <w:sz w:val="20"/>
          <w:szCs w:val="20"/>
        </w:rPr>
        <w:t>a member</w:t>
      </w:r>
      <w:r w:rsidRPr="00F23661">
        <w:rPr>
          <w:rFonts w:ascii="Verdana" w:eastAsia="Times New Roman" w:hAnsi="Verdana"/>
          <w:bCs/>
          <w:sz w:val="20"/>
          <w:szCs w:val="20"/>
        </w:rPr>
        <w:t xml:space="preserve"> of </w:t>
      </w:r>
      <w:r>
        <w:rPr>
          <w:rFonts w:ascii="Verdana" w:eastAsia="Times New Roman" w:hAnsi="Verdana"/>
          <w:bCs/>
          <w:sz w:val="20"/>
          <w:szCs w:val="20"/>
        </w:rPr>
        <w:t xml:space="preserve">the Forum </w:t>
      </w:r>
      <w:r w:rsidRPr="00F23661">
        <w:rPr>
          <w:rFonts w:ascii="Verdana" w:eastAsia="Times New Roman" w:hAnsi="Verdana"/>
          <w:bCs/>
          <w:sz w:val="20"/>
          <w:szCs w:val="20"/>
        </w:rPr>
        <w:t xml:space="preserve">by attending </w:t>
      </w:r>
      <w:r w:rsidRPr="00F23661">
        <w:rPr>
          <w:rFonts w:ascii="Verdana" w:eastAsia="Times New Roman" w:hAnsi="Verdana"/>
          <w:bCs/>
          <w:sz w:val="20"/>
          <w:szCs w:val="20"/>
        </w:rPr>
        <w:t xml:space="preserve">LAPFF </w:t>
      </w:r>
      <w:r w:rsidRPr="00F23661">
        <w:rPr>
          <w:rFonts w:ascii="Verdana" w:eastAsia="Times New Roman" w:hAnsi="Verdana"/>
          <w:bCs/>
          <w:sz w:val="20"/>
          <w:szCs w:val="20"/>
        </w:rPr>
        <w:t>b</w:t>
      </w:r>
      <w:r w:rsidRPr="00F23661">
        <w:rPr>
          <w:rFonts w:ascii="Verdana" w:eastAsia="Times New Roman" w:hAnsi="Verdana"/>
          <w:bCs/>
          <w:sz w:val="20"/>
          <w:szCs w:val="20"/>
        </w:rPr>
        <w:t>usiness meetings</w:t>
      </w:r>
      <w:r w:rsidRPr="00F23661">
        <w:rPr>
          <w:rFonts w:ascii="Verdana" w:eastAsia="Times New Roman" w:hAnsi="Verdana"/>
          <w:bCs/>
          <w:sz w:val="20"/>
          <w:szCs w:val="20"/>
        </w:rPr>
        <w:t xml:space="preserve">, </w:t>
      </w:r>
      <w:r w:rsidRPr="00F23661">
        <w:rPr>
          <w:rFonts w:ascii="Verdana" w:eastAsia="Times New Roman" w:hAnsi="Verdana"/>
          <w:bCs/>
          <w:sz w:val="20"/>
          <w:szCs w:val="20"/>
        </w:rPr>
        <w:t xml:space="preserve">exercising </w:t>
      </w:r>
      <w:r w:rsidRPr="00F23661">
        <w:rPr>
          <w:rFonts w:ascii="Verdana" w:eastAsia="Times New Roman" w:hAnsi="Verdana"/>
          <w:bCs/>
          <w:sz w:val="20"/>
          <w:szCs w:val="20"/>
        </w:rPr>
        <w:t xml:space="preserve">the Fund's </w:t>
      </w:r>
      <w:r w:rsidRPr="00F23661">
        <w:rPr>
          <w:rFonts w:ascii="Verdana" w:eastAsia="Times New Roman" w:hAnsi="Verdana"/>
          <w:bCs/>
          <w:sz w:val="20"/>
          <w:szCs w:val="20"/>
        </w:rPr>
        <w:t xml:space="preserve">voting rights, </w:t>
      </w:r>
      <w:r w:rsidRPr="00F23661">
        <w:rPr>
          <w:rFonts w:ascii="Verdana" w:eastAsia="Times New Roman" w:hAnsi="Verdana"/>
          <w:bCs/>
          <w:sz w:val="20"/>
          <w:szCs w:val="20"/>
        </w:rPr>
        <w:t>draft</w:t>
      </w:r>
      <w:r w:rsidRPr="00F23661">
        <w:rPr>
          <w:rFonts w:ascii="Verdana" w:eastAsia="Times New Roman" w:hAnsi="Verdana"/>
          <w:bCs/>
          <w:sz w:val="20"/>
          <w:szCs w:val="20"/>
        </w:rPr>
        <w:t xml:space="preserve">ing </w:t>
      </w:r>
      <w:r w:rsidRPr="00F23661">
        <w:rPr>
          <w:rFonts w:ascii="Verdana" w:eastAsia="Times New Roman" w:hAnsi="Verdana"/>
          <w:bCs/>
          <w:sz w:val="20"/>
          <w:szCs w:val="20"/>
        </w:rPr>
        <w:t xml:space="preserve">responses and </w:t>
      </w:r>
      <w:r w:rsidRPr="00F23661">
        <w:rPr>
          <w:rFonts w:ascii="Verdana" w:eastAsia="Times New Roman" w:hAnsi="Verdana"/>
          <w:bCs/>
          <w:sz w:val="20"/>
          <w:szCs w:val="20"/>
        </w:rPr>
        <w:t>feedback</w:t>
      </w:r>
      <w:r w:rsidRPr="00F23661">
        <w:rPr>
          <w:rFonts w:ascii="Verdana" w:eastAsia="Times New Roman" w:hAnsi="Verdana"/>
          <w:bCs/>
          <w:sz w:val="20"/>
          <w:szCs w:val="20"/>
        </w:rPr>
        <w:t xml:space="preserve"> </w:t>
      </w:r>
      <w:r w:rsidRPr="00F23661">
        <w:rPr>
          <w:rFonts w:ascii="Verdana" w:eastAsia="Times New Roman" w:hAnsi="Verdana"/>
          <w:bCs/>
          <w:sz w:val="20"/>
          <w:szCs w:val="20"/>
        </w:rPr>
        <w:t xml:space="preserve">to consultations </w:t>
      </w:r>
      <w:r w:rsidRPr="00F23661">
        <w:rPr>
          <w:rFonts w:ascii="Verdana" w:eastAsia="Times New Roman" w:hAnsi="Verdana"/>
          <w:bCs/>
          <w:sz w:val="20"/>
          <w:szCs w:val="20"/>
        </w:rPr>
        <w:t xml:space="preserve">and </w:t>
      </w:r>
      <w:r w:rsidRPr="00F23661">
        <w:rPr>
          <w:rFonts w:ascii="Verdana" w:eastAsia="Times New Roman" w:hAnsi="Verdana"/>
          <w:bCs/>
          <w:sz w:val="20"/>
          <w:szCs w:val="20"/>
        </w:rPr>
        <w:t xml:space="preserve">identifying opportunities </w:t>
      </w:r>
      <w:r w:rsidRPr="00F23661">
        <w:rPr>
          <w:rFonts w:ascii="Verdana" w:eastAsia="Times New Roman" w:hAnsi="Verdana"/>
          <w:bCs/>
          <w:sz w:val="20"/>
          <w:szCs w:val="20"/>
        </w:rPr>
        <w:t>for participation</w:t>
      </w:r>
      <w:r w:rsidRPr="00F23661">
        <w:rPr>
          <w:rFonts w:ascii="Verdana" w:eastAsia="Times New Roman" w:hAnsi="Verdana"/>
          <w:bCs/>
          <w:sz w:val="20"/>
          <w:szCs w:val="20"/>
        </w:rPr>
        <w:t>.</w:t>
      </w:r>
    </w:p>
    <w:p w:rsidR="002A4F1A" w:rsidRDefault="0070520C" w:rsidP="00E51D19">
      <w:pPr>
        <w:widowControl w:val="0"/>
        <w:spacing w:after="0"/>
        <w:outlineLvl w:val="0"/>
        <w:rPr>
          <w:rFonts w:ascii="Verdana" w:eastAsia="Times New Roman" w:hAnsi="Verdana"/>
          <w:bCs/>
          <w:sz w:val="20"/>
          <w:szCs w:val="20"/>
        </w:rPr>
      </w:pPr>
    </w:p>
    <w:p w:rsidR="00E0367E" w:rsidRPr="00F23661" w:rsidRDefault="0070520C" w:rsidP="00E51D19">
      <w:pPr>
        <w:widowControl w:val="0"/>
        <w:spacing w:after="0"/>
        <w:outlineLvl w:val="0"/>
        <w:rPr>
          <w:rFonts w:ascii="Verdana" w:hAnsi="Verdana"/>
          <w:bCs/>
          <w:sz w:val="20"/>
          <w:szCs w:val="20"/>
        </w:rPr>
      </w:pPr>
      <w:r w:rsidRPr="00F23661">
        <w:rPr>
          <w:rFonts w:ascii="Verdana" w:eastAsia="Times New Roman" w:hAnsi="Verdana"/>
          <w:bCs/>
          <w:sz w:val="20"/>
          <w:szCs w:val="20"/>
        </w:rPr>
        <w:t xml:space="preserve">LAPFF's most recent quarterly Business Meeting took place on </w:t>
      </w:r>
      <w:r w:rsidRPr="00F23661">
        <w:rPr>
          <w:rFonts w:ascii="Verdana" w:hAnsi="Verdana"/>
          <w:bCs/>
          <w:sz w:val="20"/>
          <w:szCs w:val="20"/>
        </w:rPr>
        <w:t>1</w:t>
      </w:r>
      <w:r w:rsidRPr="00F23661">
        <w:rPr>
          <w:rFonts w:ascii="Verdana" w:hAnsi="Verdana"/>
          <w:bCs/>
          <w:sz w:val="20"/>
          <w:szCs w:val="20"/>
        </w:rPr>
        <w:t>8</w:t>
      </w:r>
      <w:r w:rsidRPr="00F23661">
        <w:rPr>
          <w:rFonts w:ascii="Verdana" w:hAnsi="Verdana"/>
          <w:bCs/>
          <w:sz w:val="20"/>
          <w:szCs w:val="20"/>
          <w:vertAlign w:val="superscript"/>
        </w:rPr>
        <w:t>th</w:t>
      </w:r>
      <w:r w:rsidRPr="00F23661">
        <w:rPr>
          <w:rFonts w:ascii="Verdana" w:hAnsi="Verdana"/>
          <w:bCs/>
          <w:sz w:val="20"/>
          <w:szCs w:val="20"/>
        </w:rPr>
        <w:t xml:space="preserve"> </w:t>
      </w:r>
      <w:r w:rsidRPr="00F23661">
        <w:rPr>
          <w:rFonts w:ascii="Verdana" w:hAnsi="Verdana"/>
          <w:bCs/>
          <w:sz w:val="20"/>
          <w:szCs w:val="20"/>
        </w:rPr>
        <w:t>October</w:t>
      </w:r>
      <w:r w:rsidRPr="00F23661">
        <w:rPr>
          <w:rFonts w:ascii="Verdana" w:hAnsi="Verdana"/>
          <w:bCs/>
          <w:sz w:val="20"/>
          <w:szCs w:val="20"/>
        </w:rPr>
        <w:t xml:space="preserve"> 2016</w:t>
      </w:r>
      <w:r w:rsidRPr="00F23661">
        <w:rPr>
          <w:rFonts w:ascii="Verdana" w:hAnsi="Verdana"/>
          <w:bCs/>
          <w:sz w:val="20"/>
          <w:szCs w:val="20"/>
        </w:rPr>
        <w:t xml:space="preserve"> and was attended by the LPP I Responsible Investment Officer</w:t>
      </w:r>
      <w:r w:rsidRPr="00F23661">
        <w:rPr>
          <w:rFonts w:ascii="Verdana" w:hAnsi="Verdana"/>
          <w:bCs/>
          <w:sz w:val="20"/>
          <w:szCs w:val="20"/>
        </w:rPr>
        <w:t xml:space="preserve">. </w:t>
      </w:r>
      <w:r w:rsidRPr="00F23661">
        <w:rPr>
          <w:rFonts w:ascii="Verdana" w:hAnsi="Verdana"/>
          <w:bCs/>
          <w:sz w:val="20"/>
          <w:szCs w:val="20"/>
        </w:rPr>
        <w:t>H</w:t>
      </w:r>
      <w:r w:rsidRPr="00F23661">
        <w:rPr>
          <w:rFonts w:ascii="Verdana" w:hAnsi="Verdana" w:cs="Verdana"/>
          <w:sz w:val="20"/>
          <w:szCs w:val="20"/>
        </w:rPr>
        <w:t xml:space="preserve">eadlines </w:t>
      </w:r>
      <w:r w:rsidRPr="00F23661">
        <w:rPr>
          <w:rFonts w:ascii="Verdana" w:hAnsi="Verdana" w:cs="Verdana"/>
          <w:sz w:val="20"/>
          <w:szCs w:val="20"/>
        </w:rPr>
        <w:t xml:space="preserve">from the meeting </w:t>
      </w:r>
      <w:r w:rsidRPr="00F23661">
        <w:rPr>
          <w:rFonts w:ascii="Verdana" w:hAnsi="Verdana" w:cs="Verdana"/>
          <w:sz w:val="20"/>
          <w:szCs w:val="20"/>
        </w:rPr>
        <w:t>include</w:t>
      </w:r>
      <w:r w:rsidRPr="00F23661">
        <w:rPr>
          <w:rFonts w:ascii="Verdana" w:hAnsi="Verdana" w:cs="Verdana"/>
          <w:sz w:val="20"/>
          <w:szCs w:val="20"/>
        </w:rPr>
        <w:t>d</w:t>
      </w:r>
      <w:r w:rsidRPr="00F23661">
        <w:rPr>
          <w:rFonts w:ascii="Verdana" w:hAnsi="Verdana" w:cs="Verdana"/>
          <w:sz w:val="20"/>
          <w:szCs w:val="20"/>
        </w:rPr>
        <w:t xml:space="preserve"> the following matters:</w:t>
      </w:r>
    </w:p>
    <w:p w:rsidR="006F74BD" w:rsidRPr="00F23661" w:rsidRDefault="0070520C" w:rsidP="00E0367E">
      <w:pPr>
        <w:spacing w:after="0"/>
        <w:rPr>
          <w:rFonts w:ascii="Verdana" w:eastAsia="Times New Roman" w:hAnsi="Verdana"/>
          <w:bCs/>
          <w:color w:val="183850" w:themeColor="text1"/>
          <w:sz w:val="20"/>
          <w:szCs w:val="20"/>
        </w:rPr>
      </w:pPr>
    </w:p>
    <w:p w:rsidR="00334313" w:rsidRPr="00F23661" w:rsidRDefault="0070520C" w:rsidP="007D5492">
      <w:pPr>
        <w:pStyle w:val="ListParagraph"/>
        <w:numPr>
          <w:ilvl w:val="0"/>
          <w:numId w:val="9"/>
        </w:numPr>
        <w:spacing w:after="0" w:line="240" w:lineRule="auto"/>
        <w:ind w:left="0" w:firstLine="0"/>
        <w:jc w:val="both"/>
        <w:rPr>
          <w:rFonts w:ascii="Verdana" w:hAnsi="Verdana"/>
          <w:bCs/>
          <w:sz w:val="20"/>
          <w:szCs w:val="20"/>
        </w:rPr>
      </w:pPr>
      <w:r w:rsidRPr="00F23661">
        <w:rPr>
          <w:rFonts w:ascii="Verdana" w:hAnsi="Verdana"/>
          <w:bCs/>
          <w:sz w:val="20"/>
          <w:szCs w:val="20"/>
        </w:rPr>
        <w:t xml:space="preserve">LAPFF Constitution and Membership </w:t>
      </w:r>
    </w:p>
    <w:p w:rsidR="002A4F1A" w:rsidRDefault="0070520C" w:rsidP="002A4F1A">
      <w:pPr>
        <w:spacing w:after="0"/>
        <w:jc w:val="both"/>
        <w:rPr>
          <w:rFonts w:ascii="Verdana" w:hAnsi="Verdana"/>
          <w:bCs/>
          <w:sz w:val="20"/>
          <w:szCs w:val="20"/>
        </w:rPr>
      </w:pPr>
    </w:p>
    <w:p w:rsidR="00334313" w:rsidRPr="00F23661" w:rsidRDefault="0070520C" w:rsidP="002A4F1A">
      <w:pPr>
        <w:spacing w:after="0"/>
        <w:jc w:val="both"/>
        <w:rPr>
          <w:rFonts w:ascii="Verdana" w:hAnsi="Verdana"/>
          <w:bCs/>
          <w:sz w:val="20"/>
          <w:szCs w:val="20"/>
        </w:rPr>
      </w:pPr>
      <w:r w:rsidRPr="00F23661">
        <w:rPr>
          <w:rFonts w:ascii="Verdana" w:hAnsi="Verdana"/>
          <w:bCs/>
          <w:sz w:val="20"/>
          <w:szCs w:val="20"/>
        </w:rPr>
        <w:t xml:space="preserve">Comments received from member Funds following LAPFF's offer to give Observer Membership status to </w:t>
      </w:r>
      <w:r>
        <w:rPr>
          <w:rFonts w:ascii="Verdana" w:hAnsi="Verdana"/>
          <w:bCs/>
          <w:sz w:val="20"/>
          <w:szCs w:val="20"/>
        </w:rPr>
        <w:t xml:space="preserve">the </w:t>
      </w:r>
      <w:r w:rsidRPr="00F23661">
        <w:rPr>
          <w:rFonts w:ascii="Verdana" w:hAnsi="Verdana"/>
          <w:bCs/>
          <w:sz w:val="20"/>
          <w:szCs w:val="20"/>
        </w:rPr>
        <w:t xml:space="preserve">emerging LGPS </w:t>
      </w:r>
      <w:r w:rsidRPr="00F23661">
        <w:rPr>
          <w:rFonts w:ascii="Verdana" w:hAnsi="Verdana"/>
          <w:bCs/>
          <w:sz w:val="20"/>
          <w:szCs w:val="20"/>
        </w:rPr>
        <w:t xml:space="preserve">pools are to be discussed at a LAPFF strategy meeting in November where other issues relating to Pools and LAPFF membership including fees will also be considered. </w:t>
      </w:r>
    </w:p>
    <w:p w:rsidR="002A4F1A" w:rsidRDefault="0070520C" w:rsidP="002A4F1A">
      <w:pPr>
        <w:spacing w:after="0"/>
        <w:jc w:val="both"/>
        <w:rPr>
          <w:rFonts w:ascii="Verdana" w:hAnsi="Verdana"/>
          <w:bCs/>
          <w:sz w:val="20"/>
          <w:szCs w:val="20"/>
        </w:rPr>
      </w:pPr>
    </w:p>
    <w:p w:rsidR="00334313" w:rsidRPr="00F23661" w:rsidRDefault="0070520C" w:rsidP="002A4F1A">
      <w:pPr>
        <w:spacing w:after="0"/>
        <w:jc w:val="both"/>
        <w:rPr>
          <w:rFonts w:ascii="Verdana" w:hAnsi="Verdana"/>
          <w:bCs/>
          <w:sz w:val="20"/>
          <w:szCs w:val="20"/>
        </w:rPr>
      </w:pPr>
      <w:r w:rsidRPr="00F23661">
        <w:rPr>
          <w:rFonts w:ascii="Verdana" w:hAnsi="Verdana"/>
          <w:bCs/>
          <w:sz w:val="20"/>
          <w:szCs w:val="20"/>
        </w:rPr>
        <w:t xml:space="preserve">LPP has communicated its position </w:t>
      </w:r>
      <w:r w:rsidRPr="00F23661">
        <w:rPr>
          <w:rFonts w:ascii="Verdana" w:hAnsi="Verdana"/>
          <w:bCs/>
          <w:sz w:val="20"/>
          <w:szCs w:val="20"/>
        </w:rPr>
        <w:t>to LAPFF on the offer</w:t>
      </w:r>
      <w:r>
        <w:rPr>
          <w:rFonts w:ascii="Verdana" w:hAnsi="Verdana"/>
          <w:bCs/>
          <w:sz w:val="20"/>
          <w:szCs w:val="20"/>
        </w:rPr>
        <w:t xml:space="preserve"> made to pools</w:t>
      </w:r>
      <w:r w:rsidRPr="00F23661">
        <w:rPr>
          <w:rFonts w:ascii="Verdana" w:hAnsi="Verdana"/>
          <w:bCs/>
          <w:sz w:val="20"/>
          <w:szCs w:val="20"/>
        </w:rPr>
        <w:t xml:space="preserve"> </w:t>
      </w:r>
      <w:r>
        <w:rPr>
          <w:rFonts w:ascii="Verdana" w:hAnsi="Verdana"/>
          <w:bCs/>
          <w:sz w:val="20"/>
          <w:szCs w:val="20"/>
        </w:rPr>
        <w:t>explaining</w:t>
      </w:r>
      <w:r w:rsidRPr="00F23661">
        <w:rPr>
          <w:rFonts w:ascii="Verdana" w:hAnsi="Verdana"/>
          <w:bCs/>
          <w:sz w:val="20"/>
          <w:szCs w:val="20"/>
        </w:rPr>
        <w:t xml:space="preserve"> that the </w:t>
      </w:r>
      <w:r w:rsidRPr="00F23661">
        <w:rPr>
          <w:rFonts w:ascii="Verdana" w:hAnsi="Verdana"/>
          <w:bCs/>
          <w:sz w:val="20"/>
          <w:szCs w:val="20"/>
        </w:rPr>
        <w:t xml:space="preserve">RI Officer will </w:t>
      </w:r>
      <w:r>
        <w:rPr>
          <w:rFonts w:ascii="Verdana" w:hAnsi="Verdana"/>
          <w:bCs/>
          <w:sz w:val="20"/>
          <w:szCs w:val="20"/>
        </w:rPr>
        <w:t xml:space="preserve">need to </w:t>
      </w:r>
      <w:r w:rsidRPr="00F23661">
        <w:rPr>
          <w:rFonts w:ascii="Verdana" w:hAnsi="Verdana"/>
          <w:bCs/>
          <w:sz w:val="20"/>
          <w:szCs w:val="20"/>
        </w:rPr>
        <w:t xml:space="preserve">continue to attend LAPFF Business meetings and other LAPFF events in order to directly represent </w:t>
      </w:r>
      <w:r w:rsidRPr="00F23661">
        <w:rPr>
          <w:rFonts w:ascii="Verdana" w:hAnsi="Verdana"/>
          <w:bCs/>
          <w:sz w:val="20"/>
          <w:szCs w:val="20"/>
        </w:rPr>
        <w:t>clients (</w:t>
      </w:r>
      <w:r w:rsidRPr="00F23661">
        <w:rPr>
          <w:rFonts w:ascii="Verdana" w:hAnsi="Verdana"/>
          <w:bCs/>
          <w:sz w:val="20"/>
          <w:szCs w:val="20"/>
        </w:rPr>
        <w:t>LCPF</w:t>
      </w:r>
      <w:r w:rsidRPr="00F23661">
        <w:rPr>
          <w:rFonts w:ascii="Verdana" w:hAnsi="Verdana"/>
          <w:bCs/>
          <w:sz w:val="20"/>
          <w:szCs w:val="20"/>
        </w:rPr>
        <w:t xml:space="preserve"> and LPFA)</w:t>
      </w:r>
      <w:r w:rsidRPr="00F23661">
        <w:rPr>
          <w:rFonts w:ascii="Verdana" w:hAnsi="Verdana"/>
          <w:bCs/>
          <w:sz w:val="20"/>
          <w:szCs w:val="20"/>
        </w:rPr>
        <w:t xml:space="preserve"> and will need to be able to exercise their voting rights and participate in decision-making</w:t>
      </w:r>
      <w:r>
        <w:rPr>
          <w:rFonts w:ascii="Verdana" w:hAnsi="Verdana"/>
          <w:bCs/>
          <w:sz w:val="20"/>
          <w:szCs w:val="20"/>
        </w:rPr>
        <w:t xml:space="preserve"> on their behalf</w:t>
      </w:r>
      <w:r w:rsidRPr="00F23661">
        <w:rPr>
          <w:rFonts w:ascii="Verdana" w:hAnsi="Verdana"/>
          <w:bCs/>
          <w:sz w:val="20"/>
          <w:szCs w:val="20"/>
        </w:rPr>
        <w:t>, so</w:t>
      </w:r>
      <w:r w:rsidRPr="00F23661">
        <w:rPr>
          <w:rFonts w:ascii="Verdana" w:hAnsi="Verdana"/>
          <w:bCs/>
          <w:sz w:val="20"/>
          <w:szCs w:val="20"/>
        </w:rPr>
        <w:t xml:space="preserve">mething which is not </w:t>
      </w:r>
      <w:r>
        <w:rPr>
          <w:rFonts w:ascii="Verdana" w:hAnsi="Verdana"/>
          <w:bCs/>
          <w:sz w:val="20"/>
          <w:szCs w:val="20"/>
        </w:rPr>
        <w:t>currently envisaged</w:t>
      </w:r>
      <w:r w:rsidRPr="00F23661">
        <w:rPr>
          <w:rFonts w:ascii="Verdana" w:hAnsi="Verdana"/>
          <w:bCs/>
          <w:sz w:val="20"/>
          <w:szCs w:val="20"/>
        </w:rPr>
        <w:t xml:space="preserve"> </w:t>
      </w:r>
      <w:r>
        <w:rPr>
          <w:rFonts w:ascii="Verdana" w:hAnsi="Verdana"/>
          <w:bCs/>
          <w:sz w:val="20"/>
          <w:szCs w:val="20"/>
        </w:rPr>
        <w:t>under the observer status offered to pool</w:t>
      </w:r>
      <w:r w:rsidRPr="00F23661">
        <w:rPr>
          <w:rFonts w:ascii="Verdana" w:hAnsi="Verdana"/>
          <w:bCs/>
          <w:sz w:val="20"/>
          <w:szCs w:val="20"/>
        </w:rPr>
        <w:t>s</w:t>
      </w:r>
      <w:r w:rsidRPr="00F23661">
        <w:rPr>
          <w:rFonts w:ascii="Verdana" w:hAnsi="Verdana"/>
          <w:bCs/>
          <w:sz w:val="20"/>
          <w:szCs w:val="20"/>
        </w:rPr>
        <w:t>.</w:t>
      </w:r>
    </w:p>
    <w:p w:rsidR="002A4F1A" w:rsidRDefault="0070520C" w:rsidP="002A4F1A">
      <w:pPr>
        <w:spacing w:after="0"/>
        <w:jc w:val="both"/>
        <w:rPr>
          <w:rFonts w:ascii="Verdana" w:hAnsi="Verdana"/>
          <w:bCs/>
          <w:sz w:val="20"/>
          <w:szCs w:val="20"/>
        </w:rPr>
      </w:pPr>
    </w:p>
    <w:p w:rsidR="00334313" w:rsidRPr="00F23661" w:rsidRDefault="0070520C" w:rsidP="002A4F1A">
      <w:pPr>
        <w:spacing w:after="0"/>
        <w:jc w:val="both"/>
        <w:rPr>
          <w:rFonts w:ascii="Verdana" w:hAnsi="Verdana"/>
          <w:bCs/>
          <w:sz w:val="20"/>
          <w:szCs w:val="20"/>
        </w:rPr>
      </w:pPr>
      <w:r w:rsidRPr="00F23661">
        <w:rPr>
          <w:rFonts w:ascii="Verdana" w:hAnsi="Verdana"/>
          <w:bCs/>
          <w:sz w:val="20"/>
          <w:szCs w:val="20"/>
        </w:rPr>
        <w:t xml:space="preserve">A revised </w:t>
      </w:r>
      <w:r>
        <w:rPr>
          <w:rFonts w:ascii="Verdana" w:hAnsi="Verdana"/>
          <w:bCs/>
          <w:sz w:val="20"/>
          <w:szCs w:val="20"/>
        </w:rPr>
        <w:t xml:space="preserve">LAPFF </w:t>
      </w:r>
      <w:r w:rsidRPr="00F23661">
        <w:rPr>
          <w:rFonts w:ascii="Verdana" w:hAnsi="Verdana"/>
          <w:bCs/>
          <w:sz w:val="20"/>
          <w:szCs w:val="20"/>
        </w:rPr>
        <w:t>constitution is under consideration by the LAPFF Executive and will be put to the AGM in January 2017. Changes will include narrative which strengthens an</w:t>
      </w:r>
      <w:r w:rsidRPr="00F23661">
        <w:rPr>
          <w:rFonts w:ascii="Verdana" w:hAnsi="Verdana"/>
          <w:bCs/>
          <w:sz w:val="20"/>
          <w:szCs w:val="20"/>
        </w:rPr>
        <w:t>d clarifies the approach to diversity.</w:t>
      </w:r>
    </w:p>
    <w:p w:rsidR="002A4F1A" w:rsidRDefault="0070520C" w:rsidP="002A4F1A">
      <w:pPr>
        <w:spacing w:after="0"/>
        <w:jc w:val="both"/>
        <w:rPr>
          <w:rFonts w:ascii="Verdana" w:hAnsi="Verdana"/>
          <w:bCs/>
          <w:sz w:val="20"/>
          <w:szCs w:val="20"/>
        </w:rPr>
      </w:pPr>
    </w:p>
    <w:p w:rsidR="007D5492" w:rsidRDefault="0070520C" w:rsidP="007D5492">
      <w:pPr>
        <w:pStyle w:val="ListParagraph"/>
        <w:numPr>
          <w:ilvl w:val="0"/>
          <w:numId w:val="9"/>
        </w:numPr>
        <w:spacing w:after="0"/>
        <w:ind w:hanging="720"/>
        <w:jc w:val="both"/>
        <w:rPr>
          <w:rFonts w:ascii="Verdana" w:hAnsi="Verdana"/>
          <w:bCs/>
          <w:sz w:val="20"/>
          <w:szCs w:val="20"/>
        </w:rPr>
      </w:pPr>
      <w:r w:rsidRPr="007D5492">
        <w:rPr>
          <w:rFonts w:ascii="Verdana" w:hAnsi="Verdana"/>
          <w:bCs/>
          <w:sz w:val="20"/>
          <w:szCs w:val="20"/>
        </w:rPr>
        <w:t>All Party Parliamentary Group (APPG) on Local Government Pensions</w:t>
      </w:r>
    </w:p>
    <w:p w:rsidR="007D5492" w:rsidRDefault="0070520C" w:rsidP="007D5492">
      <w:pPr>
        <w:spacing w:after="0"/>
        <w:jc w:val="both"/>
        <w:rPr>
          <w:rFonts w:ascii="Verdana" w:hAnsi="Verdana"/>
          <w:bCs/>
          <w:sz w:val="20"/>
          <w:szCs w:val="20"/>
        </w:rPr>
      </w:pPr>
    </w:p>
    <w:p w:rsidR="00334313" w:rsidRPr="007D5492" w:rsidRDefault="0070520C" w:rsidP="007D5492">
      <w:pPr>
        <w:spacing w:after="0"/>
        <w:jc w:val="both"/>
        <w:rPr>
          <w:rFonts w:ascii="Verdana" w:hAnsi="Verdana"/>
          <w:bCs/>
          <w:sz w:val="20"/>
          <w:szCs w:val="20"/>
        </w:rPr>
      </w:pPr>
      <w:r w:rsidRPr="007D5492">
        <w:rPr>
          <w:rFonts w:ascii="Verdana" w:hAnsi="Verdana"/>
          <w:bCs/>
          <w:sz w:val="20"/>
          <w:szCs w:val="20"/>
        </w:rPr>
        <w:t>LAPFF</w:t>
      </w:r>
      <w:r w:rsidRPr="007D5492">
        <w:rPr>
          <w:rFonts w:ascii="Verdana" w:hAnsi="Verdana"/>
          <w:bCs/>
          <w:sz w:val="20"/>
          <w:szCs w:val="20"/>
        </w:rPr>
        <w:t>'s role</w:t>
      </w:r>
      <w:r w:rsidRPr="007D5492">
        <w:rPr>
          <w:rFonts w:ascii="Verdana" w:hAnsi="Verdana"/>
          <w:bCs/>
          <w:sz w:val="20"/>
          <w:szCs w:val="20"/>
        </w:rPr>
        <w:t xml:space="preserve"> in relation to the All Party Parliamentary Group (APPG) on Local Government Pensions</w:t>
      </w:r>
      <w:r w:rsidRPr="007D5492">
        <w:rPr>
          <w:rFonts w:ascii="Verdana" w:hAnsi="Verdana"/>
          <w:bCs/>
          <w:sz w:val="20"/>
          <w:szCs w:val="20"/>
        </w:rPr>
        <w:t xml:space="preserve"> has been clarified following questions raised by Me</w:t>
      </w:r>
      <w:r w:rsidRPr="007D5492">
        <w:rPr>
          <w:rFonts w:ascii="Verdana" w:hAnsi="Verdana"/>
          <w:bCs/>
          <w:sz w:val="20"/>
          <w:szCs w:val="20"/>
        </w:rPr>
        <w:t>mber Funds</w:t>
      </w:r>
      <w:r w:rsidRPr="007D5492">
        <w:rPr>
          <w:rFonts w:ascii="Verdana" w:hAnsi="Verdana"/>
          <w:bCs/>
          <w:sz w:val="20"/>
          <w:szCs w:val="20"/>
        </w:rPr>
        <w:t xml:space="preserve">. </w:t>
      </w:r>
      <w:r w:rsidRPr="007D5492">
        <w:rPr>
          <w:rFonts w:ascii="Verdana" w:hAnsi="Verdana"/>
          <w:bCs/>
          <w:sz w:val="20"/>
          <w:szCs w:val="20"/>
        </w:rPr>
        <w:t>It has been confirmed</w:t>
      </w:r>
      <w:r w:rsidRPr="007D5492">
        <w:rPr>
          <w:rFonts w:ascii="Verdana" w:hAnsi="Verdana"/>
          <w:bCs/>
          <w:sz w:val="20"/>
          <w:szCs w:val="20"/>
        </w:rPr>
        <w:t xml:space="preserve"> that LAPFF cannot command and control the APPG (which is the creation of Parliament) but can feed </w:t>
      </w:r>
      <w:r w:rsidRPr="007D5492">
        <w:rPr>
          <w:rFonts w:ascii="Verdana" w:hAnsi="Verdana"/>
          <w:bCs/>
          <w:sz w:val="20"/>
          <w:szCs w:val="20"/>
        </w:rPr>
        <w:t xml:space="preserve">ideas </w:t>
      </w:r>
      <w:r w:rsidRPr="007D5492">
        <w:rPr>
          <w:rFonts w:ascii="Verdana" w:hAnsi="Verdana"/>
          <w:bCs/>
          <w:sz w:val="20"/>
          <w:szCs w:val="20"/>
        </w:rPr>
        <w:t>into its work plan and use the opportunity provided by the APPG to communicate issues and concerns through to Parliame</w:t>
      </w:r>
      <w:r w:rsidRPr="007D5492">
        <w:rPr>
          <w:rFonts w:ascii="Verdana" w:hAnsi="Verdana"/>
          <w:bCs/>
          <w:sz w:val="20"/>
          <w:szCs w:val="20"/>
        </w:rPr>
        <w:t xml:space="preserve">nt. APPG meetings are open and member funds who wish to attend are welcome to </w:t>
      </w:r>
      <w:r w:rsidRPr="007D5492">
        <w:rPr>
          <w:rFonts w:ascii="Verdana" w:hAnsi="Verdana"/>
          <w:bCs/>
          <w:sz w:val="20"/>
          <w:szCs w:val="20"/>
        </w:rPr>
        <w:t>send representatives to meeting</w:t>
      </w:r>
      <w:r w:rsidRPr="007D5492">
        <w:rPr>
          <w:rFonts w:ascii="Verdana" w:hAnsi="Verdana"/>
          <w:bCs/>
          <w:sz w:val="20"/>
          <w:szCs w:val="20"/>
        </w:rPr>
        <w:t>s</w:t>
      </w:r>
      <w:r w:rsidRPr="007D5492">
        <w:rPr>
          <w:rFonts w:ascii="Verdana" w:hAnsi="Verdana"/>
          <w:bCs/>
          <w:sz w:val="20"/>
          <w:szCs w:val="20"/>
        </w:rPr>
        <w:t xml:space="preserve"> </w:t>
      </w:r>
      <w:r w:rsidRPr="007D5492">
        <w:rPr>
          <w:rFonts w:ascii="Verdana" w:hAnsi="Verdana"/>
          <w:bCs/>
          <w:sz w:val="20"/>
          <w:szCs w:val="20"/>
        </w:rPr>
        <w:t>(</w:t>
      </w:r>
      <w:r w:rsidRPr="007D5492">
        <w:rPr>
          <w:rFonts w:ascii="Verdana" w:hAnsi="Verdana"/>
          <w:bCs/>
          <w:sz w:val="20"/>
          <w:szCs w:val="20"/>
        </w:rPr>
        <w:t>which take place at the House of Commons</w:t>
      </w:r>
      <w:r w:rsidRPr="007D5492">
        <w:rPr>
          <w:rFonts w:ascii="Verdana" w:hAnsi="Verdana"/>
          <w:bCs/>
          <w:sz w:val="20"/>
          <w:szCs w:val="20"/>
        </w:rPr>
        <w:t>)</w:t>
      </w:r>
      <w:r w:rsidRPr="007D5492">
        <w:rPr>
          <w:rFonts w:ascii="Verdana" w:hAnsi="Verdana"/>
          <w:bCs/>
          <w:sz w:val="20"/>
          <w:szCs w:val="20"/>
        </w:rPr>
        <w:t>. LAPFF will issue press releases and</w:t>
      </w:r>
      <w:r w:rsidRPr="007D5492">
        <w:rPr>
          <w:rFonts w:ascii="Verdana" w:hAnsi="Verdana"/>
          <w:bCs/>
          <w:sz w:val="20"/>
          <w:szCs w:val="20"/>
        </w:rPr>
        <w:t xml:space="preserve"> </w:t>
      </w:r>
      <w:r w:rsidRPr="007D5492">
        <w:rPr>
          <w:rFonts w:ascii="Verdana" w:hAnsi="Verdana"/>
          <w:bCs/>
          <w:sz w:val="20"/>
          <w:szCs w:val="20"/>
        </w:rPr>
        <w:t xml:space="preserve">forward these to </w:t>
      </w:r>
      <w:r w:rsidRPr="007D5492">
        <w:rPr>
          <w:rFonts w:ascii="Verdana" w:hAnsi="Verdana"/>
          <w:bCs/>
          <w:sz w:val="20"/>
          <w:szCs w:val="20"/>
        </w:rPr>
        <w:t xml:space="preserve">Forum </w:t>
      </w:r>
      <w:r w:rsidRPr="007D5492">
        <w:rPr>
          <w:rFonts w:ascii="Verdana" w:hAnsi="Verdana"/>
          <w:bCs/>
          <w:sz w:val="20"/>
          <w:szCs w:val="20"/>
        </w:rPr>
        <w:t xml:space="preserve">members </w:t>
      </w:r>
      <w:r w:rsidRPr="007D5492">
        <w:rPr>
          <w:rFonts w:ascii="Verdana" w:hAnsi="Verdana"/>
          <w:bCs/>
          <w:sz w:val="20"/>
          <w:szCs w:val="20"/>
        </w:rPr>
        <w:t xml:space="preserve">by way of update </w:t>
      </w:r>
      <w:r w:rsidRPr="007D5492">
        <w:rPr>
          <w:rFonts w:ascii="Verdana" w:hAnsi="Verdana"/>
          <w:bCs/>
          <w:sz w:val="20"/>
          <w:szCs w:val="20"/>
        </w:rPr>
        <w:t xml:space="preserve">after each APPG meeting. </w:t>
      </w:r>
    </w:p>
    <w:p w:rsidR="001C761E" w:rsidRPr="00F23661" w:rsidRDefault="0070520C" w:rsidP="002A4F1A">
      <w:pPr>
        <w:spacing w:after="0"/>
        <w:jc w:val="both"/>
        <w:rPr>
          <w:rFonts w:ascii="Verdana" w:hAnsi="Verdana"/>
          <w:bCs/>
          <w:sz w:val="20"/>
          <w:szCs w:val="20"/>
        </w:rPr>
      </w:pPr>
    </w:p>
    <w:p w:rsidR="00334313" w:rsidRDefault="0070520C" w:rsidP="002A4F1A">
      <w:pPr>
        <w:pStyle w:val="ListParagraph"/>
        <w:numPr>
          <w:ilvl w:val="0"/>
          <w:numId w:val="9"/>
        </w:numPr>
        <w:spacing w:after="0" w:line="240" w:lineRule="auto"/>
        <w:ind w:left="0" w:firstLine="0"/>
        <w:jc w:val="both"/>
        <w:rPr>
          <w:rFonts w:ascii="Verdana" w:hAnsi="Verdana"/>
          <w:bCs/>
          <w:sz w:val="20"/>
          <w:szCs w:val="20"/>
        </w:rPr>
      </w:pPr>
      <w:r w:rsidRPr="00F23661">
        <w:rPr>
          <w:rFonts w:ascii="Verdana" w:hAnsi="Verdana"/>
          <w:bCs/>
          <w:sz w:val="20"/>
          <w:szCs w:val="20"/>
        </w:rPr>
        <w:t>LAPFF response to DCLG Guidance on LGPS Investment Strategy Statements</w:t>
      </w:r>
    </w:p>
    <w:p w:rsidR="002A4F1A" w:rsidRPr="00F23661" w:rsidRDefault="0070520C" w:rsidP="002A4F1A">
      <w:pPr>
        <w:pStyle w:val="ListParagraph"/>
        <w:spacing w:after="0" w:line="240" w:lineRule="auto"/>
        <w:ind w:left="0"/>
        <w:jc w:val="both"/>
        <w:rPr>
          <w:rFonts w:ascii="Verdana" w:hAnsi="Verdana"/>
          <w:bCs/>
          <w:sz w:val="20"/>
          <w:szCs w:val="20"/>
        </w:rPr>
      </w:pPr>
    </w:p>
    <w:p w:rsidR="0025693F" w:rsidRPr="00F23661" w:rsidRDefault="0070520C" w:rsidP="002A4F1A">
      <w:pPr>
        <w:spacing w:after="0"/>
        <w:jc w:val="both"/>
        <w:rPr>
          <w:rFonts w:ascii="Verdana" w:hAnsi="Verdana"/>
          <w:bCs/>
          <w:sz w:val="20"/>
          <w:szCs w:val="20"/>
        </w:rPr>
      </w:pPr>
      <w:r w:rsidRPr="00F23661">
        <w:rPr>
          <w:rFonts w:ascii="Verdana" w:hAnsi="Verdana"/>
          <w:bCs/>
          <w:sz w:val="20"/>
          <w:szCs w:val="20"/>
        </w:rPr>
        <w:t xml:space="preserve">LAPFF has welcomed the </w:t>
      </w:r>
      <w:r>
        <w:rPr>
          <w:rFonts w:ascii="Verdana" w:hAnsi="Verdana"/>
          <w:bCs/>
          <w:sz w:val="20"/>
          <w:szCs w:val="20"/>
        </w:rPr>
        <w:t xml:space="preserve">new Guidance and specifically the </w:t>
      </w:r>
      <w:r w:rsidRPr="00F23661">
        <w:rPr>
          <w:rFonts w:ascii="Verdana" w:hAnsi="Verdana"/>
          <w:bCs/>
          <w:sz w:val="20"/>
          <w:szCs w:val="20"/>
        </w:rPr>
        <w:t>re-statement of the central role of Administering Authorities as the repositories of fiduciar</w:t>
      </w:r>
      <w:r>
        <w:rPr>
          <w:rFonts w:ascii="Verdana" w:hAnsi="Verdana"/>
          <w:bCs/>
          <w:sz w:val="20"/>
          <w:szCs w:val="20"/>
        </w:rPr>
        <w:t>y respo</w:t>
      </w:r>
      <w:r>
        <w:rPr>
          <w:rFonts w:ascii="Verdana" w:hAnsi="Verdana"/>
          <w:bCs/>
          <w:sz w:val="20"/>
          <w:szCs w:val="20"/>
        </w:rPr>
        <w:t xml:space="preserve">nsibility for LGPS funds. The Forum </w:t>
      </w:r>
      <w:r w:rsidRPr="00F23661">
        <w:rPr>
          <w:rFonts w:ascii="Verdana" w:hAnsi="Verdana"/>
          <w:bCs/>
          <w:sz w:val="20"/>
          <w:szCs w:val="20"/>
        </w:rPr>
        <w:t xml:space="preserve">will be seeking further dialogue with DCLG on the precise meaning of "inappropriate pensions policies" and on the Secretary of State's powers of direction. </w:t>
      </w:r>
    </w:p>
    <w:p w:rsidR="0032402D" w:rsidRPr="00F23661" w:rsidRDefault="0070520C" w:rsidP="002A4F1A">
      <w:pPr>
        <w:spacing w:after="0"/>
        <w:jc w:val="both"/>
        <w:rPr>
          <w:rFonts w:ascii="Verdana" w:hAnsi="Verdana"/>
          <w:bCs/>
          <w:sz w:val="20"/>
          <w:szCs w:val="20"/>
        </w:rPr>
      </w:pPr>
    </w:p>
    <w:p w:rsidR="00334313" w:rsidRPr="00F23661" w:rsidRDefault="0070520C" w:rsidP="002A4F1A">
      <w:pPr>
        <w:spacing w:after="0"/>
        <w:jc w:val="both"/>
        <w:rPr>
          <w:rFonts w:ascii="Verdana" w:hAnsi="Verdana"/>
          <w:bCs/>
          <w:sz w:val="20"/>
          <w:szCs w:val="20"/>
        </w:rPr>
      </w:pPr>
      <w:r>
        <w:rPr>
          <w:rFonts w:ascii="Verdana" w:hAnsi="Verdana"/>
          <w:bCs/>
          <w:sz w:val="20"/>
          <w:szCs w:val="20"/>
        </w:rPr>
        <w:lastRenderedPageBreak/>
        <w:t>T</w:t>
      </w:r>
      <w:r w:rsidRPr="00F23661">
        <w:rPr>
          <w:rFonts w:ascii="Verdana" w:hAnsi="Verdana"/>
          <w:bCs/>
          <w:sz w:val="20"/>
          <w:szCs w:val="20"/>
        </w:rPr>
        <w:t xml:space="preserve">he requirement for Administering Authorities to publish Investment Strategy Statements </w:t>
      </w:r>
      <w:r>
        <w:rPr>
          <w:rFonts w:ascii="Verdana" w:hAnsi="Verdana"/>
          <w:bCs/>
          <w:sz w:val="20"/>
          <w:szCs w:val="20"/>
        </w:rPr>
        <w:t xml:space="preserve">(ISS) </w:t>
      </w:r>
      <w:r>
        <w:rPr>
          <w:rFonts w:ascii="Verdana" w:hAnsi="Verdana"/>
          <w:bCs/>
          <w:sz w:val="20"/>
          <w:szCs w:val="20"/>
        </w:rPr>
        <w:t xml:space="preserve">which must include their approach to stewardship is discussed in greater detail below within the section on </w:t>
      </w:r>
      <w:r w:rsidRPr="00F23661">
        <w:rPr>
          <w:rFonts w:ascii="Verdana" w:hAnsi="Verdana"/>
          <w:bCs/>
          <w:sz w:val="20"/>
          <w:szCs w:val="20"/>
        </w:rPr>
        <w:t xml:space="preserve">Active Investing. </w:t>
      </w:r>
    </w:p>
    <w:p w:rsidR="001C761E" w:rsidRPr="00F23661" w:rsidRDefault="0070520C" w:rsidP="002A4F1A">
      <w:pPr>
        <w:spacing w:after="0"/>
        <w:jc w:val="both"/>
        <w:rPr>
          <w:rFonts w:ascii="Verdana" w:hAnsi="Verdana"/>
          <w:bCs/>
          <w:sz w:val="20"/>
          <w:szCs w:val="20"/>
        </w:rPr>
      </w:pPr>
    </w:p>
    <w:p w:rsidR="00334313" w:rsidRPr="00F23661" w:rsidRDefault="0070520C" w:rsidP="002A4F1A">
      <w:pPr>
        <w:pStyle w:val="ListParagraph"/>
        <w:numPr>
          <w:ilvl w:val="0"/>
          <w:numId w:val="9"/>
        </w:numPr>
        <w:spacing w:after="0" w:line="240" w:lineRule="auto"/>
        <w:ind w:left="0" w:firstLine="0"/>
        <w:jc w:val="both"/>
        <w:rPr>
          <w:rFonts w:ascii="Verdana" w:hAnsi="Verdana"/>
          <w:bCs/>
          <w:sz w:val="20"/>
          <w:szCs w:val="20"/>
        </w:rPr>
      </w:pPr>
      <w:r w:rsidRPr="00F23661">
        <w:rPr>
          <w:rFonts w:ascii="Verdana" w:hAnsi="Verdana"/>
          <w:bCs/>
          <w:sz w:val="20"/>
          <w:szCs w:val="20"/>
        </w:rPr>
        <w:t>Transition Pathway Initiative (TPI)</w:t>
      </w:r>
    </w:p>
    <w:p w:rsidR="00334313" w:rsidRPr="00F23661" w:rsidRDefault="0070520C" w:rsidP="002A4F1A">
      <w:pPr>
        <w:spacing w:after="0"/>
        <w:jc w:val="both"/>
        <w:rPr>
          <w:rFonts w:ascii="Verdana" w:hAnsi="Verdana"/>
          <w:bCs/>
          <w:sz w:val="20"/>
          <w:szCs w:val="20"/>
        </w:rPr>
      </w:pPr>
    </w:p>
    <w:p w:rsidR="00334313" w:rsidRPr="00F23661" w:rsidRDefault="0070520C" w:rsidP="002A4F1A">
      <w:pPr>
        <w:spacing w:after="0"/>
        <w:jc w:val="both"/>
        <w:rPr>
          <w:rFonts w:ascii="Verdana" w:hAnsi="Verdana"/>
          <w:bCs/>
          <w:sz w:val="20"/>
          <w:szCs w:val="20"/>
        </w:rPr>
      </w:pPr>
      <w:r w:rsidRPr="00F23661">
        <w:rPr>
          <w:rFonts w:ascii="Verdana" w:hAnsi="Verdana"/>
          <w:bCs/>
          <w:sz w:val="20"/>
          <w:szCs w:val="20"/>
        </w:rPr>
        <w:t xml:space="preserve">The business meeting received a presentation </w:t>
      </w:r>
      <w:r w:rsidRPr="00F23661">
        <w:rPr>
          <w:rFonts w:ascii="Verdana" w:hAnsi="Verdana"/>
          <w:bCs/>
          <w:sz w:val="20"/>
          <w:szCs w:val="20"/>
        </w:rPr>
        <w:t xml:space="preserve">on the TPI </w:t>
      </w:r>
      <w:r w:rsidRPr="00F23661">
        <w:rPr>
          <w:rFonts w:ascii="Verdana" w:hAnsi="Verdana"/>
          <w:bCs/>
          <w:sz w:val="20"/>
          <w:szCs w:val="20"/>
        </w:rPr>
        <w:t xml:space="preserve">from LAPFF Executive Member Faith Ward of the Environment Agency Pension Fund (EAPF). </w:t>
      </w:r>
      <w:r w:rsidRPr="00F23661">
        <w:rPr>
          <w:rFonts w:ascii="Verdana" w:hAnsi="Verdana"/>
          <w:bCs/>
          <w:sz w:val="20"/>
          <w:szCs w:val="20"/>
        </w:rPr>
        <w:t>TPI</w:t>
      </w:r>
      <w:r w:rsidRPr="00F23661">
        <w:rPr>
          <w:rFonts w:ascii="Verdana" w:hAnsi="Verdana"/>
          <w:bCs/>
          <w:sz w:val="20"/>
          <w:szCs w:val="20"/>
        </w:rPr>
        <w:t xml:space="preserve"> is a joint initiative from the Church of England Commissioners, EAPF, and the London School of Economics Gra</w:t>
      </w:r>
      <w:r w:rsidRPr="00F23661">
        <w:rPr>
          <w:rFonts w:ascii="Verdana" w:hAnsi="Verdana"/>
          <w:bCs/>
          <w:sz w:val="20"/>
          <w:szCs w:val="20"/>
        </w:rPr>
        <w:t xml:space="preserve">ntham Institute to create a practical </w:t>
      </w:r>
      <w:r w:rsidRPr="00F23661">
        <w:rPr>
          <w:rFonts w:ascii="Verdana" w:hAnsi="Verdana"/>
          <w:bCs/>
          <w:sz w:val="20"/>
          <w:szCs w:val="20"/>
        </w:rPr>
        <w:t xml:space="preserve">analytical </w:t>
      </w:r>
      <w:r w:rsidRPr="00F23661">
        <w:rPr>
          <w:rFonts w:ascii="Verdana" w:hAnsi="Verdana"/>
          <w:bCs/>
          <w:sz w:val="20"/>
          <w:szCs w:val="20"/>
        </w:rPr>
        <w:t xml:space="preserve">tool which will help investors </w:t>
      </w:r>
      <w:r>
        <w:rPr>
          <w:rFonts w:ascii="Verdana" w:hAnsi="Verdana"/>
          <w:bCs/>
          <w:sz w:val="20"/>
          <w:szCs w:val="20"/>
        </w:rPr>
        <w:t>understand</w:t>
      </w:r>
      <w:r w:rsidRPr="00F23661">
        <w:rPr>
          <w:rFonts w:ascii="Verdana" w:hAnsi="Verdana"/>
          <w:bCs/>
          <w:sz w:val="20"/>
          <w:szCs w:val="20"/>
        </w:rPr>
        <w:t xml:space="preserve"> where companies sit on the transition </w:t>
      </w:r>
      <w:r>
        <w:rPr>
          <w:rFonts w:ascii="Verdana" w:hAnsi="Verdana"/>
          <w:bCs/>
          <w:sz w:val="20"/>
          <w:szCs w:val="20"/>
        </w:rPr>
        <w:t xml:space="preserve">pathway </w:t>
      </w:r>
      <w:r w:rsidRPr="00F23661">
        <w:rPr>
          <w:rFonts w:ascii="Verdana" w:hAnsi="Verdana"/>
          <w:bCs/>
          <w:sz w:val="20"/>
          <w:szCs w:val="20"/>
        </w:rPr>
        <w:t xml:space="preserve">to a low carbon economy </w:t>
      </w:r>
      <w:r>
        <w:rPr>
          <w:rFonts w:ascii="Verdana" w:hAnsi="Verdana"/>
          <w:bCs/>
          <w:sz w:val="20"/>
          <w:szCs w:val="20"/>
        </w:rPr>
        <w:t>(</w:t>
      </w:r>
      <w:r w:rsidRPr="00F23661">
        <w:rPr>
          <w:rFonts w:ascii="Verdana" w:hAnsi="Verdana"/>
          <w:bCs/>
          <w:sz w:val="20"/>
          <w:szCs w:val="20"/>
        </w:rPr>
        <w:t xml:space="preserve">and </w:t>
      </w:r>
      <w:r>
        <w:rPr>
          <w:rFonts w:ascii="Verdana" w:hAnsi="Verdana"/>
          <w:bCs/>
          <w:sz w:val="20"/>
          <w:szCs w:val="20"/>
        </w:rPr>
        <w:t xml:space="preserve">their </w:t>
      </w:r>
      <w:r w:rsidRPr="00F23661">
        <w:rPr>
          <w:rFonts w:ascii="Verdana" w:hAnsi="Verdana"/>
          <w:bCs/>
          <w:sz w:val="20"/>
          <w:szCs w:val="20"/>
        </w:rPr>
        <w:t>competence to navigate the transition</w:t>
      </w:r>
      <w:r>
        <w:rPr>
          <w:rFonts w:ascii="Verdana" w:hAnsi="Verdana"/>
          <w:bCs/>
          <w:sz w:val="20"/>
          <w:szCs w:val="20"/>
        </w:rPr>
        <w:t>)</w:t>
      </w:r>
      <w:r w:rsidRPr="00F23661">
        <w:rPr>
          <w:rFonts w:ascii="Verdana" w:hAnsi="Verdana"/>
          <w:bCs/>
          <w:sz w:val="20"/>
          <w:szCs w:val="20"/>
        </w:rPr>
        <w:t>. The tool will be web-based, free for investo</w:t>
      </w:r>
      <w:r w:rsidRPr="00F23661">
        <w:rPr>
          <w:rFonts w:ascii="Verdana" w:hAnsi="Verdana"/>
          <w:bCs/>
          <w:sz w:val="20"/>
          <w:szCs w:val="20"/>
        </w:rPr>
        <w:t xml:space="preserve">rs to use and will provide information to increase insight and facilitate activity in line with </w:t>
      </w:r>
      <w:r w:rsidRPr="00F23661">
        <w:rPr>
          <w:rFonts w:ascii="Verdana" w:hAnsi="Verdana"/>
          <w:bCs/>
          <w:sz w:val="20"/>
          <w:szCs w:val="20"/>
        </w:rPr>
        <w:t>each</w:t>
      </w:r>
      <w:r w:rsidRPr="00F23661">
        <w:rPr>
          <w:rFonts w:ascii="Verdana" w:hAnsi="Verdana"/>
          <w:bCs/>
          <w:sz w:val="20"/>
          <w:szCs w:val="20"/>
        </w:rPr>
        <w:t xml:space="preserve"> investor's approach to RI.</w:t>
      </w:r>
      <w:r w:rsidRPr="00F23661">
        <w:rPr>
          <w:rFonts w:ascii="Verdana" w:hAnsi="Verdana"/>
          <w:bCs/>
          <w:sz w:val="20"/>
          <w:szCs w:val="20"/>
        </w:rPr>
        <w:t xml:space="preserve">  </w:t>
      </w:r>
      <w:r>
        <w:rPr>
          <w:rFonts w:ascii="Verdana" w:hAnsi="Verdana"/>
          <w:bCs/>
          <w:sz w:val="20"/>
          <w:szCs w:val="20"/>
        </w:rPr>
        <w:t xml:space="preserve">At the Business meeting members gave their agreement </w:t>
      </w:r>
      <w:r w:rsidRPr="00F23661">
        <w:rPr>
          <w:rFonts w:ascii="Verdana" w:hAnsi="Verdana"/>
          <w:bCs/>
          <w:sz w:val="20"/>
          <w:szCs w:val="20"/>
        </w:rPr>
        <w:t xml:space="preserve">to </w:t>
      </w:r>
      <w:r>
        <w:rPr>
          <w:rFonts w:ascii="Verdana" w:hAnsi="Verdana"/>
          <w:bCs/>
          <w:sz w:val="20"/>
          <w:szCs w:val="20"/>
        </w:rPr>
        <w:t xml:space="preserve">LAPFF </w:t>
      </w:r>
      <w:r w:rsidRPr="00F23661">
        <w:rPr>
          <w:rFonts w:ascii="Verdana" w:hAnsi="Verdana"/>
          <w:bCs/>
          <w:sz w:val="20"/>
          <w:szCs w:val="20"/>
        </w:rPr>
        <w:t xml:space="preserve">becoming a named supporter </w:t>
      </w:r>
      <w:r w:rsidRPr="00F23661">
        <w:rPr>
          <w:rFonts w:ascii="Verdana" w:hAnsi="Verdana"/>
          <w:bCs/>
          <w:sz w:val="20"/>
          <w:szCs w:val="20"/>
        </w:rPr>
        <w:t>of the TPI</w:t>
      </w:r>
      <w:r w:rsidRPr="00F23661">
        <w:rPr>
          <w:rFonts w:ascii="Verdana" w:hAnsi="Verdana"/>
          <w:bCs/>
          <w:sz w:val="20"/>
          <w:szCs w:val="20"/>
        </w:rPr>
        <w:t>, attending the launch, usin</w:t>
      </w:r>
      <w:r w:rsidRPr="00F23661">
        <w:rPr>
          <w:rFonts w:ascii="Verdana" w:hAnsi="Verdana"/>
          <w:bCs/>
          <w:sz w:val="20"/>
          <w:szCs w:val="20"/>
        </w:rPr>
        <w:t>g the tool as part of its engagements efforts and publicising the tool to members once operational.</w:t>
      </w:r>
    </w:p>
    <w:p w:rsidR="001C761E" w:rsidRPr="00F23661" w:rsidRDefault="0070520C" w:rsidP="002A4F1A">
      <w:pPr>
        <w:spacing w:after="0"/>
        <w:jc w:val="both"/>
        <w:rPr>
          <w:rFonts w:ascii="Verdana" w:hAnsi="Verdana"/>
          <w:bCs/>
          <w:sz w:val="20"/>
          <w:szCs w:val="20"/>
        </w:rPr>
      </w:pPr>
    </w:p>
    <w:p w:rsidR="00FF799F" w:rsidRPr="00F23661" w:rsidRDefault="0070520C" w:rsidP="002A4F1A">
      <w:pPr>
        <w:spacing w:after="0"/>
        <w:jc w:val="both"/>
        <w:rPr>
          <w:rFonts w:ascii="Verdana" w:hAnsi="Verdana"/>
          <w:bCs/>
          <w:sz w:val="20"/>
          <w:szCs w:val="20"/>
        </w:rPr>
      </w:pPr>
      <w:r w:rsidRPr="00F23661">
        <w:rPr>
          <w:rFonts w:ascii="Verdana" w:hAnsi="Verdana"/>
          <w:bCs/>
          <w:sz w:val="20"/>
          <w:szCs w:val="20"/>
        </w:rPr>
        <w:t xml:space="preserve">The </w:t>
      </w:r>
      <w:r w:rsidRPr="00F23661">
        <w:rPr>
          <w:rFonts w:ascii="Verdana" w:hAnsi="Verdana"/>
          <w:bCs/>
          <w:sz w:val="20"/>
          <w:szCs w:val="20"/>
        </w:rPr>
        <w:t xml:space="preserve">LPPI </w:t>
      </w:r>
      <w:r w:rsidRPr="00F23661">
        <w:rPr>
          <w:rFonts w:ascii="Verdana" w:hAnsi="Verdana"/>
          <w:bCs/>
          <w:sz w:val="20"/>
          <w:szCs w:val="20"/>
        </w:rPr>
        <w:t xml:space="preserve">RI Officer was </w:t>
      </w:r>
      <w:r w:rsidRPr="00F23661">
        <w:rPr>
          <w:rFonts w:ascii="Verdana" w:hAnsi="Verdana"/>
          <w:bCs/>
          <w:sz w:val="20"/>
          <w:szCs w:val="20"/>
        </w:rPr>
        <w:t xml:space="preserve">already </w:t>
      </w:r>
      <w:r w:rsidRPr="00F23661">
        <w:rPr>
          <w:rFonts w:ascii="Verdana" w:hAnsi="Verdana"/>
          <w:bCs/>
          <w:sz w:val="20"/>
          <w:szCs w:val="20"/>
        </w:rPr>
        <w:t xml:space="preserve">aware of </w:t>
      </w:r>
      <w:r w:rsidRPr="00F23661">
        <w:rPr>
          <w:rFonts w:ascii="Verdana" w:hAnsi="Verdana"/>
          <w:bCs/>
          <w:sz w:val="20"/>
          <w:szCs w:val="20"/>
        </w:rPr>
        <w:t xml:space="preserve">the TPI </w:t>
      </w:r>
      <w:r>
        <w:rPr>
          <w:rFonts w:ascii="Verdana" w:hAnsi="Verdana"/>
          <w:bCs/>
          <w:sz w:val="20"/>
          <w:szCs w:val="20"/>
        </w:rPr>
        <w:t>through</w:t>
      </w:r>
      <w:r w:rsidRPr="00F23661">
        <w:rPr>
          <w:rFonts w:ascii="Verdana" w:hAnsi="Verdana"/>
          <w:bCs/>
          <w:sz w:val="20"/>
          <w:szCs w:val="20"/>
        </w:rPr>
        <w:t xml:space="preserve"> </w:t>
      </w:r>
      <w:r>
        <w:rPr>
          <w:rFonts w:ascii="Verdana" w:hAnsi="Verdana"/>
          <w:bCs/>
          <w:sz w:val="20"/>
          <w:szCs w:val="20"/>
        </w:rPr>
        <w:t xml:space="preserve">separate </w:t>
      </w:r>
      <w:r w:rsidRPr="00F23661">
        <w:rPr>
          <w:rFonts w:ascii="Verdana" w:hAnsi="Verdana"/>
          <w:bCs/>
          <w:sz w:val="20"/>
          <w:szCs w:val="20"/>
        </w:rPr>
        <w:t xml:space="preserve">dialogue </w:t>
      </w:r>
      <w:r w:rsidRPr="00F23661">
        <w:rPr>
          <w:rFonts w:ascii="Verdana" w:hAnsi="Verdana"/>
          <w:bCs/>
          <w:sz w:val="20"/>
          <w:szCs w:val="20"/>
        </w:rPr>
        <w:t xml:space="preserve">with the </w:t>
      </w:r>
      <w:r w:rsidRPr="00F23661">
        <w:rPr>
          <w:rFonts w:ascii="Verdana" w:hAnsi="Verdana"/>
          <w:bCs/>
          <w:sz w:val="20"/>
          <w:szCs w:val="20"/>
        </w:rPr>
        <w:t xml:space="preserve">two </w:t>
      </w:r>
      <w:r w:rsidRPr="00F23661">
        <w:rPr>
          <w:rFonts w:ascii="Verdana" w:hAnsi="Verdana"/>
          <w:bCs/>
          <w:sz w:val="20"/>
          <w:szCs w:val="20"/>
        </w:rPr>
        <w:t xml:space="preserve">Funds </w:t>
      </w:r>
      <w:r>
        <w:rPr>
          <w:rFonts w:ascii="Verdana" w:hAnsi="Verdana"/>
          <w:bCs/>
          <w:sz w:val="20"/>
          <w:szCs w:val="20"/>
        </w:rPr>
        <w:t xml:space="preserve">who are </w:t>
      </w:r>
      <w:r w:rsidRPr="00F23661">
        <w:rPr>
          <w:rFonts w:ascii="Verdana" w:hAnsi="Verdana"/>
          <w:bCs/>
          <w:sz w:val="20"/>
          <w:szCs w:val="20"/>
        </w:rPr>
        <w:t xml:space="preserve">developing it </w:t>
      </w:r>
      <w:r w:rsidRPr="00F23661">
        <w:rPr>
          <w:rFonts w:ascii="Verdana" w:hAnsi="Verdana"/>
          <w:bCs/>
          <w:sz w:val="20"/>
          <w:szCs w:val="20"/>
        </w:rPr>
        <w:t xml:space="preserve">and LPP I </w:t>
      </w:r>
      <w:r w:rsidRPr="00F23661">
        <w:rPr>
          <w:rFonts w:ascii="Verdana" w:hAnsi="Verdana"/>
          <w:bCs/>
          <w:sz w:val="20"/>
          <w:szCs w:val="20"/>
        </w:rPr>
        <w:t xml:space="preserve">will </w:t>
      </w:r>
      <w:r w:rsidRPr="00F23661">
        <w:rPr>
          <w:rFonts w:ascii="Verdana" w:hAnsi="Verdana"/>
          <w:bCs/>
          <w:sz w:val="20"/>
          <w:szCs w:val="20"/>
        </w:rPr>
        <w:t xml:space="preserve">be a named supporter </w:t>
      </w:r>
      <w:r w:rsidRPr="00F23661">
        <w:rPr>
          <w:rFonts w:ascii="Verdana" w:hAnsi="Verdana"/>
          <w:bCs/>
          <w:sz w:val="20"/>
          <w:szCs w:val="20"/>
        </w:rPr>
        <w:t xml:space="preserve">of TPI </w:t>
      </w:r>
      <w:r w:rsidRPr="00F23661">
        <w:rPr>
          <w:rFonts w:ascii="Verdana" w:hAnsi="Verdana"/>
          <w:bCs/>
          <w:sz w:val="20"/>
          <w:szCs w:val="20"/>
        </w:rPr>
        <w:t>in its own right</w:t>
      </w:r>
      <w:r w:rsidRPr="00F23661">
        <w:rPr>
          <w:rFonts w:ascii="Verdana" w:hAnsi="Verdana"/>
          <w:bCs/>
          <w:sz w:val="20"/>
          <w:szCs w:val="20"/>
        </w:rPr>
        <w:t>. This</w:t>
      </w:r>
      <w:r w:rsidRPr="00F23661">
        <w:rPr>
          <w:rFonts w:ascii="Verdana" w:hAnsi="Verdana"/>
          <w:bCs/>
          <w:sz w:val="20"/>
          <w:szCs w:val="20"/>
        </w:rPr>
        <w:t xml:space="preserve"> </w:t>
      </w:r>
      <w:r>
        <w:rPr>
          <w:rFonts w:ascii="Verdana" w:hAnsi="Verdana"/>
          <w:bCs/>
          <w:sz w:val="20"/>
          <w:szCs w:val="20"/>
        </w:rPr>
        <w:t>will involve</w:t>
      </w:r>
      <w:r w:rsidRPr="00F23661">
        <w:rPr>
          <w:rFonts w:ascii="Verdana" w:hAnsi="Verdana"/>
          <w:bCs/>
          <w:sz w:val="20"/>
          <w:szCs w:val="20"/>
        </w:rPr>
        <w:t xml:space="preserve"> being positively associated with the initiative, supporting</w:t>
      </w:r>
      <w:r>
        <w:rPr>
          <w:rFonts w:ascii="Verdana" w:hAnsi="Verdana"/>
          <w:bCs/>
          <w:sz w:val="20"/>
          <w:szCs w:val="20"/>
        </w:rPr>
        <w:t xml:space="preserve"> its goals and committing to using</w:t>
      </w:r>
      <w:r w:rsidRPr="00F23661">
        <w:rPr>
          <w:rFonts w:ascii="Verdana" w:hAnsi="Verdana"/>
          <w:bCs/>
          <w:sz w:val="20"/>
          <w:szCs w:val="20"/>
        </w:rPr>
        <w:t xml:space="preserve"> the tool once it is available. </w:t>
      </w:r>
      <w:r w:rsidRPr="00F23661">
        <w:rPr>
          <w:rFonts w:ascii="Verdana" w:hAnsi="Verdana"/>
          <w:bCs/>
          <w:sz w:val="20"/>
          <w:szCs w:val="20"/>
        </w:rPr>
        <w:t>T</w:t>
      </w:r>
      <w:r w:rsidRPr="00F23661">
        <w:rPr>
          <w:rFonts w:ascii="Verdana" w:hAnsi="Verdana"/>
          <w:bCs/>
          <w:sz w:val="20"/>
          <w:szCs w:val="20"/>
        </w:rPr>
        <w:t xml:space="preserve">he </w:t>
      </w:r>
      <w:r>
        <w:rPr>
          <w:rFonts w:ascii="Verdana" w:hAnsi="Verdana"/>
          <w:bCs/>
          <w:sz w:val="20"/>
          <w:szCs w:val="20"/>
        </w:rPr>
        <w:t xml:space="preserve">TPI </w:t>
      </w:r>
      <w:r w:rsidRPr="00F23661">
        <w:rPr>
          <w:rFonts w:ascii="Verdana" w:hAnsi="Verdana"/>
          <w:bCs/>
          <w:sz w:val="20"/>
          <w:szCs w:val="20"/>
        </w:rPr>
        <w:t xml:space="preserve">tool will </w:t>
      </w:r>
      <w:r w:rsidRPr="00F23661">
        <w:rPr>
          <w:rFonts w:ascii="Verdana" w:hAnsi="Verdana"/>
          <w:bCs/>
          <w:sz w:val="20"/>
          <w:szCs w:val="20"/>
        </w:rPr>
        <w:t xml:space="preserve">help to inform the development of </w:t>
      </w:r>
      <w:r w:rsidRPr="00F23661">
        <w:rPr>
          <w:rFonts w:ascii="Verdana" w:hAnsi="Verdana"/>
          <w:bCs/>
          <w:sz w:val="20"/>
          <w:szCs w:val="20"/>
        </w:rPr>
        <w:t xml:space="preserve">analysis </w:t>
      </w:r>
      <w:r>
        <w:rPr>
          <w:rFonts w:ascii="Verdana" w:hAnsi="Verdana"/>
          <w:bCs/>
          <w:sz w:val="20"/>
          <w:szCs w:val="20"/>
        </w:rPr>
        <w:t xml:space="preserve">which seeks </w:t>
      </w:r>
      <w:r>
        <w:rPr>
          <w:rFonts w:ascii="Verdana" w:hAnsi="Verdana"/>
          <w:bCs/>
          <w:sz w:val="20"/>
          <w:szCs w:val="20"/>
        </w:rPr>
        <w:t xml:space="preserve">better </w:t>
      </w:r>
      <w:r>
        <w:rPr>
          <w:rFonts w:ascii="Verdana" w:hAnsi="Verdana"/>
          <w:bCs/>
          <w:sz w:val="20"/>
          <w:szCs w:val="20"/>
        </w:rPr>
        <w:t xml:space="preserve">insight </w:t>
      </w:r>
      <w:r>
        <w:rPr>
          <w:rFonts w:ascii="Verdana" w:hAnsi="Verdana"/>
          <w:bCs/>
          <w:sz w:val="20"/>
          <w:szCs w:val="20"/>
        </w:rPr>
        <w:t>into</w:t>
      </w:r>
      <w:r>
        <w:rPr>
          <w:rFonts w:ascii="Verdana" w:hAnsi="Verdana"/>
          <w:bCs/>
          <w:sz w:val="20"/>
          <w:szCs w:val="20"/>
        </w:rPr>
        <w:t xml:space="preserve"> how companies </w:t>
      </w:r>
      <w:r w:rsidRPr="00F23661">
        <w:rPr>
          <w:rFonts w:ascii="Verdana" w:hAnsi="Verdana"/>
          <w:bCs/>
          <w:sz w:val="20"/>
          <w:szCs w:val="20"/>
        </w:rPr>
        <w:t xml:space="preserve">within </w:t>
      </w:r>
      <w:r w:rsidRPr="00F23661">
        <w:rPr>
          <w:rFonts w:ascii="Verdana" w:hAnsi="Verdana"/>
          <w:bCs/>
          <w:sz w:val="20"/>
          <w:szCs w:val="20"/>
        </w:rPr>
        <w:t>the Global Equities Pool</w:t>
      </w:r>
      <w:r w:rsidRPr="00F23661">
        <w:rPr>
          <w:rFonts w:ascii="Verdana" w:hAnsi="Verdana"/>
          <w:bCs/>
          <w:sz w:val="20"/>
          <w:szCs w:val="20"/>
        </w:rPr>
        <w:t xml:space="preserve"> </w:t>
      </w:r>
      <w:r>
        <w:rPr>
          <w:rFonts w:ascii="Verdana" w:hAnsi="Verdana"/>
          <w:bCs/>
          <w:sz w:val="20"/>
          <w:szCs w:val="20"/>
        </w:rPr>
        <w:t xml:space="preserve">are currently </w:t>
      </w:r>
      <w:r>
        <w:rPr>
          <w:rFonts w:ascii="Verdana" w:hAnsi="Verdana"/>
          <w:bCs/>
          <w:sz w:val="20"/>
          <w:szCs w:val="20"/>
        </w:rPr>
        <w:t xml:space="preserve">placed </w:t>
      </w:r>
      <w:r>
        <w:rPr>
          <w:rFonts w:ascii="Verdana" w:hAnsi="Verdana"/>
          <w:bCs/>
          <w:sz w:val="20"/>
          <w:szCs w:val="20"/>
        </w:rPr>
        <w:t>and their plans for future development.</w:t>
      </w:r>
    </w:p>
    <w:p w:rsidR="00016924" w:rsidRPr="00F23661" w:rsidRDefault="0070520C" w:rsidP="00016924">
      <w:pPr>
        <w:spacing w:after="0"/>
        <w:jc w:val="both"/>
        <w:rPr>
          <w:rFonts w:ascii="Verdana" w:hAnsi="Verdana" w:cs="Helvetica"/>
          <w:sz w:val="20"/>
          <w:szCs w:val="20"/>
        </w:rPr>
      </w:pPr>
    </w:p>
    <w:p w:rsidR="00016924" w:rsidRPr="00F23661" w:rsidRDefault="0070520C" w:rsidP="00572DCB">
      <w:pPr>
        <w:pStyle w:val="ListParagraph"/>
        <w:widowControl w:val="0"/>
        <w:autoSpaceDE w:val="0"/>
        <w:autoSpaceDN w:val="0"/>
        <w:adjustRightInd w:val="0"/>
        <w:spacing w:after="0" w:line="240" w:lineRule="auto"/>
        <w:contextualSpacing w:val="0"/>
        <w:jc w:val="both"/>
        <w:rPr>
          <w:rFonts w:ascii="Verdana" w:hAnsi="Verdana" w:cs="Arial"/>
          <w:b/>
          <w:bCs/>
          <w:color w:val="54BBAB" w:themeColor="text2"/>
          <w:sz w:val="20"/>
          <w:szCs w:val="20"/>
        </w:rPr>
      </w:pPr>
    </w:p>
    <w:p w:rsidR="00197BA3" w:rsidRPr="00F23661" w:rsidRDefault="0070520C" w:rsidP="00220A9C">
      <w:pPr>
        <w:pStyle w:val="ListParagraph"/>
        <w:widowControl w:val="0"/>
        <w:numPr>
          <w:ilvl w:val="0"/>
          <w:numId w:val="5"/>
        </w:numPr>
        <w:autoSpaceDE w:val="0"/>
        <w:autoSpaceDN w:val="0"/>
        <w:adjustRightInd w:val="0"/>
        <w:spacing w:after="0" w:line="240" w:lineRule="auto"/>
        <w:ind w:left="567" w:hanging="567"/>
        <w:contextualSpacing w:val="0"/>
        <w:jc w:val="both"/>
        <w:rPr>
          <w:rFonts w:ascii="Verdana" w:hAnsi="Verdana" w:cs="Arial"/>
          <w:b/>
          <w:bCs/>
          <w:color w:val="54BBAB" w:themeColor="text2"/>
          <w:sz w:val="20"/>
          <w:szCs w:val="20"/>
        </w:rPr>
      </w:pPr>
      <w:r w:rsidRPr="00F23661">
        <w:rPr>
          <w:rFonts w:ascii="Verdana" w:hAnsi="Verdana" w:cs="Arial"/>
          <w:b/>
          <w:bCs/>
          <w:color w:val="54BBAB" w:themeColor="text2"/>
          <w:sz w:val="20"/>
          <w:szCs w:val="20"/>
        </w:rPr>
        <w:t>Shareholder Litigation</w:t>
      </w:r>
    </w:p>
    <w:p w:rsidR="00197BA3" w:rsidRPr="00F23661" w:rsidRDefault="0070520C" w:rsidP="00572DCB">
      <w:pPr>
        <w:pStyle w:val="ListParagraph"/>
        <w:widowControl w:val="0"/>
        <w:autoSpaceDE w:val="0"/>
        <w:autoSpaceDN w:val="0"/>
        <w:adjustRightInd w:val="0"/>
        <w:spacing w:after="0" w:line="240" w:lineRule="auto"/>
        <w:contextualSpacing w:val="0"/>
        <w:jc w:val="both"/>
        <w:rPr>
          <w:rFonts w:ascii="Verdana" w:hAnsi="Verdana" w:cs="Arial"/>
          <w:b/>
          <w:bCs/>
          <w:color w:val="54BBAB" w:themeColor="text2"/>
          <w:sz w:val="20"/>
          <w:szCs w:val="20"/>
        </w:rPr>
      </w:pPr>
    </w:p>
    <w:p w:rsidR="005443F5" w:rsidRPr="00F23661" w:rsidRDefault="0070520C" w:rsidP="00197BA3">
      <w:pPr>
        <w:autoSpaceDE w:val="0"/>
        <w:autoSpaceDN w:val="0"/>
        <w:adjustRightInd w:val="0"/>
        <w:spacing w:after="0"/>
        <w:rPr>
          <w:rFonts w:ascii="Verdana" w:hAnsi="Verdana" w:cs="Arial"/>
          <w:sz w:val="20"/>
          <w:szCs w:val="20"/>
        </w:rPr>
      </w:pPr>
      <w:r w:rsidRPr="00F23661">
        <w:rPr>
          <w:rFonts w:ascii="Verdana" w:hAnsi="Verdana" w:cs="Arial"/>
          <w:sz w:val="20"/>
          <w:szCs w:val="20"/>
        </w:rPr>
        <w:t xml:space="preserve">Litigation offers a route for recovering financial losses where asset values have been diminished as a result of financial misconduct. </w:t>
      </w:r>
    </w:p>
    <w:p w:rsidR="005443F5" w:rsidRPr="00F23661" w:rsidRDefault="0070520C" w:rsidP="00197BA3">
      <w:pPr>
        <w:autoSpaceDE w:val="0"/>
        <w:autoSpaceDN w:val="0"/>
        <w:adjustRightInd w:val="0"/>
        <w:spacing w:after="0"/>
        <w:rPr>
          <w:rFonts w:ascii="Verdana" w:hAnsi="Verdana" w:cs="Arial"/>
          <w:sz w:val="20"/>
          <w:szCs w:val="20"/>
        </w:rPr>
      </w:pPr>
    </w:p>
    <w:p w:rsidR="00197BA3" w:rsidRPr="00F23661" w:rsidRDefault="0070520C" w:rsidP="00197BA3">
      <w:pPr>
        <w:autoSpaceDE w:val="0"/>
        <w:autoSpaceDN w:val="0"/>
        <w:adjustRightInd w:val="0"/>
        <w:spacing w:after="0"/>
        <w:rPr>
          <w:rFonts w:ascii="Verdana" w:hAnsi="Verdana" w:cs="Arial"/>
          <w:sz w:val="20"/>
          <w:szCs w:val="20"/>
        </w:rPr>
      </w:pPr>
      <w:r w:rsidRPr="00F23661">
        <w:rPr>
          <w:rFonts w:ascii="Verdana" w:hAnsi="Verdana" w:cs="Arial"/>
          <w:sz w:val="20"/>
          <w:szCs w:val="20"/>
        </w:rPr>
        <w:t xml:space="preserve">On LCPF's behalf, LPP I maintains an up to date understanding of </w:t>
      </w:r>
      <w:r w:rsidRPr="00F23661">
        <w:rPr>
          <w:rFonts w:ascii="Verdana" w:hAnsi="Verdana" w:cs="Arial"/>
          <w:sz w:val="20"/>
          <w:szCs w:val="20"/>
        </w:rPr>
        <w:t xml:space="preserve">prospective </w:t>
      </w:r>
      <w:r w:rsidRPr="00F23661">
        <w:rPr>
          <w:rFonts w:ascii="Verdana" w:hAnsi="Verdana" w:cs="Arial"/>
          <w:sz w:val="20"/>
          <w:szCs w:val="20"/>
        </w:rPr>
        <w:t>shareholder litigation</w:t>
      </w:r>
      <w:r w:rsidRPr="00F23661">
        <w:rPr>
          <w:rFonts w:ascii="Verdana" w:hAnsi="Verdana" w:cs="Arial"/>
          <w:sz w:val="20"/>
          <w:szCs w:val="20"/>
        </w:rPr>
        <w:t>s</w:t>
      </w:r>
      <w:r w:rsidRPr="00F23661">
        <w:rPr>
          <w:rFonts w:ascii="Verdana" w:hAnsi="Verdana" w:cs="Arial"/>
          <w:sz w:val="20"/>
          <w:szCs w:val="20"/>
        </w:rPr>
        <w:t xml:space="preserve"> </w:t>
      </w:r>
      <w:r w:rsidRPr="00F23661">
        <w:rPr>
          <w:rFonts w:ascii="Verdana" w:hAnsi="Verdana" w:cs="Arial"/>
          <w:sz w:val="20"/>
          <w:szCs w:val="20"/>
        </w:rPr>
        <w:t xml:space="preserve">in which </w:t>
      </w:r>
      <w:r w:rsidRPr="00F23661">
        <w:rPr>
          <w:rFonts w:ascii="Verdana" w:hAnsi="Verdana" w:cs="Arial"/>
          <w:sz w:val="20"/>
          <w:szCs w:val="20"/>
        </w:rPr>
        <w:t>the Fun</w:t>
      </w:r>
      <w:r w:rsidRPr="00F23661">
        <w:rPr>
          <w:rFonts w:ascii="Verdana" w:hAnsi="Verdana" w:cs="Arial"/>
          <w:sz w:val="20"/>
          <w:szCs w:val="20"/>
        </w:rPr>
        <w:t xml:space="preserve">d </w:t>
      </w:r>
      <w:r w:rsidRPr="00F23661">
        <w:rPr>
          <w:rFonts w:ascii="Verdana" w:hAnsi="Verdana" w:cs="Arial"/>
          <w:sz w:val="20"/>
          <w:szCs w:val="20"/>
        </w:rPr>
        <w:t>potentially has an interest</w:t>
      </w:r>
      <w:r w:rsidRPr="00F23661">
        <w:rPr>
          <w:rFonts w:ascii="Verdana" w:hAnsi="Verdana" w:cs="Arial"/>
          <w:sz w:val="20"/>
          <w:szCs w:val="20"/>
        </w:rPr>
        <w:t>. M</w:t>
      </w:r>
      <w:r w:rsidRPr="00F23661">
        <w:rPr>
          <w:rFonts w:ascii="Verdana" w:hAnsi="Verdana"/>
          <w:bCs/>
          <w:sz w:val="20"/>
          <w:szCs w:val="20"/>
        </w:rPr>
        <w:t xml:space="preserve">onitoring services </w:t>
      </w:r>
      <w:r w:rsidRPr="00F23661">
        <w:rPr>
          <w:rFonts w:ascii="Verdana" w:hAnsi="Verdana"/>
          <w:bCs/>
          <w:sz w:val="20"/>
          <w:szCs w:val="20"/>
        </w:rPr>
        <w:t xml:space="preserve">are </w:t>
      </w:r>
      <w:r w:rsidRPr="00F23661">
        <w:rPr>
          <w:rFonts w:ascii="Verdana" w:hAnsi="Verdana"/>
          <w:bCs/>
          <w:sz w:val="20"/>
          <w:szCs w:val="20"/>
        </w:rPr>
        <w:t xml:space="preserve">provided at no cost </w:t>
      </w:r>
      <w:r w:rsidRPr="00F23661">
        <w:rPr>
          <w:rFonts w:ascii="Verdana" w:hAnsi="Verdana"/>
          <w:bCs/>
          <w:sz w:val="20"/>
          <w:szCs w:val="20"/>
        </w:rPr>
        <w:t>by</w:t>
      </w:r>
      <w:r w:rsidRPr="00F23661">
        <w:rPr>
          <w:rFonts w:ascii="Verdana" w:hAnsi="Verdana" w:cs="Arial"/>
          <w:sz w:val="20"/>
          <w:szCs w:val="20"/>
        </w:rPr>
        <w:t xml:space="preserve"> two US law firms - </w:t>
      </w:r>
      <w:r w:rsidRPr="00F23661">
        <w:rPr>
          <w:rFonts w:ascii="Verdana" w:hAnsi="Verdana"/>
          <w:bCs/>
          <w:sz w:val="20"/>
          <w:szCs w:val="20"/>
        </w:rPr>
        <w:t>Barrack, Rodos and Bacine (BR&amp;B) and Robbins Geller Rudman and Dowd (RGRD)</w:t>
      </w:r>
      <w:r w:rsidRPr="00F23661">
        <w:rPr>
          <w:rFonts w:ascii="Verdana" w:hAnsi="Verdana"/>
          <w:bCs/>
          <w:sz w:val="20"/>
          <w:szCs w:val="20"/>
        </w:rPr>
        <w:t xml:space="preserve"> </w:t>
      </w:r>
      <w:r w:rsidRPr="00F23661">
        <w:rPr>
          <w:rFonts w:ascii="Verdana" w:hAnsi="Verdana"/>
          <w:bCs/>
          <w:sz w:val="20"/>
          <w:szCs w:val="20"/>
        </w:rPr>
        <w:t xml:space="preserve">which </w:t>
      </w:r>
      <w:r w:rsidRPr="00F23661">
        <w:rPr>
          <w:rFonts w:ascii="Verdana" w:hAnsi="Verdana"/>
          <w:bCs/>
          <w:sz w:val="20"/>
          <w:szCs w:val="20"/>
        </w:rPr>
        <w:t>ensure</w:t>
      </w:r>
      <w:r w:rsidRPr="00F23661">
        <w:rPr>
          <w:rFonts w:ascii="Verdana" w:hAnsi="Verdana"/>
          <w:bCs/>
          <w:sz w:val="20"/>
          <w:szCs w:val="20"/>
        </w:rPr>
        <w:t xml:space="preserve"> </w:t>
      </w:r>
      <w:r w:rsidRPr="00F23661">
        <w:rPr>
          <w:rFonts w:ascii="Verdana" w:hAnsi="Verdana"/>
          <w:bCs/>
          <w:sz w:val="20"/>
          <w:szCs w:val="20"/>
        </w:rPr>
        <w:t xml:space="preserve">prospective actions are known about, the fund's interest (level of loss) </w:t>
      </w:r>
      <w:r w:rsidRPr="00F23661">
        <w:rPr>
          <w:rFonts w:ascii="Verdana" w:hAnsi="Verdana"/>
          <w:bCs/>
          <w:sz w:val="20"/>
          <w:szCs w:val="20"/>
        </w:rPr>
        <w:t xml:space="preserve">is quantified and information is available as a basis for making </w:t>
      </w:r>
      <w:r w:rsidRPr="00F23661">
        <w:rPr>
          <w:rFonts w:ascii="Verdana" w:hAnsi="Verdana"/>
          <w:bCs/>
          <w:sz w:val="20"/>
          <w:szCs w:val="20"/>
        </w:rPr>
        <w:t xml:space="preserve">a </w:t>
      </w:r>
      <w:r w:rsidRPr="00F23661">
        <w:rPr>
          <w:rFonts w:ascii="Verdana" w:hAnsi="Verdana"/>
          <w:bCs/>
          <w:sz w:val="20"/>
          <w:szCs w:val="20"/>
        </w:rPr>
        <w:t>dec</w:t>
      </w:r>
      <w:r w:rsidRPr="00F23661">
        <w:rPr>
          <w:rFonts w:ascii="Verdana" w:hAnsi="Verdana"/>
          <w:bCs/>
          <w:sz w:val="20"/>
          <w:szCs w:val="20"/>
        </w:rPr>
        <w:t>ision</w:t>
      </w:r>
      <w:r w:rsidRPr="00F23661">
        <w:rPr>
          <w:rFonts w:ascii="Verdana" w:hAnsi="Verdana"/>
          <w:bCs/>
          <w:sz w:val="20"/>
          <w:szCs w:val="20"/>
        </w:rPr>
        <w:t xml:space="preserve"> on </w:t>
      </w:r>
      <w:r w:rsidRPr="00F23661">
        <w:rPr>
          <w:rFonts w:ascii="Verdana" w:hAnsi="Verdana"/>
          <w:bCs/>
          <w:sz w:val="20"/>
          <w:szCs w:val="20"/>
        </w:rPr>
        <w:t>the most</w:t>
      </w:r>
      <w:r w:rsidRPr="00F23661">
        <w:rPr>
          <w:rFonts w:ascii="Verdana" w:hAnsi="Verdana"/>
          <w:bCs/>
          <w:sz w:val="20"/>
          <w:szCs w:val="20"/>
        </w:rPr>
        <w:t xml:space="preserve"> appropriate course of action given the risks, costs, benefits and deadlines involved in each case. </w:t>
      </w:r>
    </w:p>
    <w:p w:rsidR="007E381E" w:rsidRPr="00F23661" w:rsidRDefault="0070520C" w:rsidP="007E381E">
      <w:pPr>
        <w:pStyle w:val="Default"/>
        <w:rPr>
          <w:rFonts w:ascii="Verdana" w:eastAsiaTheme="minorHAnsi" w:hAnsi="Verdana"/>
          <w:color w:val="auto"/>
          <w:sz w:val="20"/>
          <w:szCs w:val="20"/>
          <w:lang w:val="en-US"/>
        </w:rPr>
      </w:pPr>
    </w:p>
    <w:p w:rsidR="007E381E" w:rsidRPr="00F23661" w:rsidRDefault="0070520C" w:rsidP="007E381E">
      <w:pPr>
        <w:pStyle w:val="Default"/>
        <w:rPr>
          <w:rFonts w:ascii="Verdana" w:eastAsiaTheme="minorHAnsi" w:hAnsi="Verdana"/>
          <w:color w:val="183850" w:themeColor="text1"/>
          <w:sz w:val="20"/>
          <w:szCs w:val="20"/>
          <w:lang w:val="en-US"/>
        </w:rPr>
      </w:pPr>
      <w:r w:rsidRPr="00F23661">
        <w:rPr>
          <w:rFonts w:ascii="Verdana" w:eastAsiaTheme="minorHAnsi" w:hAnsi="Verdana"/>
          <w:color w:val="auto"/>
          <w:sz w:val="20"/>
          <w:szCs w:val="20"/>
          <w:lang w:val="en-US"/>
        </w:rPr>
        <w:t>LPP I monitors developing litigation cases to ensure the Fund is made aware of those where it has sustained losses and is appraised about opt-in, opt-out or independent legal action where this might offer a premium recovery compared with the default approa</w:t>
      </w:r>
      <w:r w:rsidRPr="00F23661">
        <w:rPr>
          <w:rFonts w:ascii="Verdana" w:eastAsiaTheme="minorHAnsi" w:hAnsi="Verdana"/>
          <w:color w:val="auto"/>
          <w:sz w:val="20"/>
          <w:szCs w:val="20"/>
          <w:lang w:val="en-US"/>
        </w:rPr>
        <w:t xml:space="preserve">ch of participating </w:t>
      </w:r>
      <w:r w:rsidRPr="00F23661">
        <w:rPr>
          <w:rFonts w:ascii="Verdana" w:eastAsiaTheme="minorHAnsi" w:hAnsi="Verdana"/>
          <w:color w:val="auto"/>
          <w:sz w:val="20"/>
          <w:szCs w:val="20"/>
          <w:lang w:val="en-US"/>
        </w:rPr>
        <w:t xml:space="preserve">collectively </w:t>
      </w:r>
      <w:r w:rsidRPr="00F23661">
        <w:rPr>
          <w:rFonts w:ascii="Verdana" w:eastAsiaTheme="minorHAnsi" w:hAnsi="Verdana"/>
          <w:color w:val="auto"/>
          <w:sz w:val="20"/>
          <w:szCs w:val="20"/>
          <w:lang w:val="en-US"/>
        </w:rPr>
        <w:t xml:space="preserve">in class actions. </w:t>
      </w:r>
    </w:p>
    <w:p w:rsidR="007E381E" w:rsidRPr="00F23661" w:rsidRDefault="0070520C" w:rsidP="007E381E">
      <w:pPr>
        <w:pStyle w:val="Default"/>
        <w:rPr>
          <w:rFonts w:ascii="Verdana" w:eastAsiaTheme="minorHAnsi" w:hAnsi="Verdana"/>
          <w:color w:val="183850" w:themeColor="text1"/>
          <w:sz w:val="20"/>
          <w:szCs w:val="20"/>
          <w:lang w:val="en-US"/>
        </w:rPr>
      </w:pPr>
    </w:p>
    <w:p w:rsidR="007E381E" w:rsidRPr="00F23661" w:rsidRDefault="0070520C" w:rsidP="00AB62BA">
      <w:pPr>
        <w:pStyle w:val="Default"/>
        <w:rPr>
          <w:rFonts w:ascii="Verdana" w:eastAsiaTheme="minorHAnsi" w:hAnsi="Verdana" w:cs="Cambria"/>
          <w:sz w:val="20"/>
          <w:szCs w:val="20"/>
        </w:rPr>
      </w:pPr>
      <w:r w:rsidRPr="004D44CF">
        <w:rPr>
          <w:rFonts w:ascii="Verdana" w:hAnsi="Verdana"/>
          <w:b/>
          <w:color w:val="auto"/>
          <w:sz w:val="20"/>
          <w:szCs w:val="20"/>
        </w:rPr>
        <w:t xml:space="preserve">A </w:t>
      </w:r>
      <w:r w:rsidRPr="004D44CF">
        <w:rPr>
          <w:rFonts w:ascii="Verdana" w:hAnsi="Verdana"/>
          <w:b/>
          <w:color w:val="auto"/>
          <w:sz w:val="20"/>
          <w:szCs w:val="20"/>
        </w:rPr>
        <w:t xml:space="preserve">copy of the report received </w:t>
      </w:r>
      <w:r w:rsidRPr="004D44CF">
        <w:rPr>
          <w:rFonts w:ascii="Verdana" w:hAnsi="Verdana"/>
          <w:b/>
          <w:color w:val="auto"/>
          <w:sz w:val="20"/>
          <w:szCs w:val="20"/>
        </w:rPr>
        <w:t xml:space="preserve">from BR&amp;B </w:t>
      </w:r>
      <w:r w:rsidRPr="004D44CF">
        <w:rPr>
          <w:rFonts w:ascii="Verdana" w:hAnsi="Verdana"/>
          <w:b/>
          <w:color w:val="auto"/>
          <w:sz w:val="20"/>
          <w:szCs w:val="20"/>
        </w:rPr>
        <w:t xml:space="preserve">summarising </w:t>
      </w:r>
      <w:r w:rsidRPr="004D44CF">
        <w:rPr>
          <w:rFonts w:ascii="Verdana" w:hAnsi="Verdana"/>
          <w:b/>
          <w:color w:val="auto"/>
          <w:sz w:val="20"/>
          <w:szCs w:val="20"/>
        </w:rPr>
        <w:t>litigation monitoring during Q</w:t>
      </w:r>
      <w:r w:rsidRPr="004D44CF">
        <w:rPr>
          <w:rFonts w:ascii="Verdana" w:hAnsi="Verdana"/>
          <w:b/>
          <w:color w:val="auto"/>
          <w:sz w:val="20"/>
          <w:szCs w:val="20"/>
        </w:rPr>
        <w:t>3</w:t>
      </w:r>
      <w:r w:rsidRPr="004D44CF">
        <w:rPr>
          <w:rFonts w:ascii="Verdana" w:hAnsi="Verdana"/>
          <w:b/>
          <w:color w:val="auto"/>
          <w:sz w:val="20"/>
          <w:szCs w:val="20"/>
        </w:rPr>
        <w:t xml:space="preserve"> 2016</w:t>
      </w:r>
      <w:r w:rsidRPr="004D44CF">
        <w:rPr>
          <w:rFonts w:ascii="Verdana" w:hAnsi="Verdana"/>
          <w:b/>
          <w:color w:val="auto"/>
          <w:sz w:val="20"/>
          <w:szCs w:val="20"/>
        </w:rPr>
        <w:t xml:space="preserve"> </w:t>
      </w:r>
      <w:r w:rsidRPr="004D44CF">
        <w:rPr>
          <w:rFonts w:ascii="Verdana" w:hAnsi="Verdana"/>
          <w:b/>
          <w:color w:val="auto"/>
          <w:sz w:val="20"/>
          <w:szCs w:val="20"/>
        </w:rPr>
        <w:t xml:space="preserve">has been placed </w:t>
      </w:r>
      <w:r w:rsidRPr="004D44CF">
        <w:rPr>
          <w:rFonts w:ascii="Verdana" w:hAnsi="Verdana"/>
          <w:b/>
          <w:bCs/>
          <w:sz w:val="20"/>
          <w:szCs w:val="20"/>
        </w:rPr>
        <w:t>within the Members Reading Room for reference</w:t>
      </w:r>
      <w:r w:rsidRPr="004D44CF">
        <w:rPr>
          <w:rFonts w:ascii="Verdana" w:hAnsi="Verdana"/>
          <w:b/>
          <w:color w:val="auto"/>
          <w:sz w:val="20"/>
          <w:szCs w:val="20"/>
        </w:rPr>
        <w:t>.</w:t>
      </w:r>
      <w:r w:rsidRPr="00F23661">
        <w:rPr>
          <w:rFonts w:ascii="Verdana" w:hAnsi="Verdana"/>
          <w:color w:val="auto"/>
          <w:sz w:val="20"/>
          <w:szCs w:val="20"/>
        </w:rPr>
        <w:t xml:space="preserve">  </w:t>
      </w:r>
      <w:r w:rsidRPr="00F23661">
        <w:rPr>
          <w:rFonts w:ascii="Verdana" w:hAnsi="Verdana"/>
          <w:color w:val="auto"/>
          <w:sz w:val="20"/>
          <w:szCs w:val="20"/>
        </w:rPr>
        <w:t xml:space="preserve">The report confirms </w:t>
      </w:r>
      <w:r>
        <w:rPr>
          <w:rFonts w:ascii="Verdana" w:hAnsi="Verdana"/>
          <w:color w:val="auto"/>
          <w:sz w:val="20"/>
          <w:szCs w:val="20"/>
        </w:rPr>
        <w:t>that LCPF</w:t>
      </w:r>
      <w:r w:rsidRPr="00F23661">
        <w:rPr>
          <w:rFonts w:ascii="Verdana" w:hAnsi="Verdana"/>
          <w:color w:val="auto"/>
          <w:sz w:val="20"/>
          <w:szCs w:val="20"/>
        </w:rPr>
        <w:t xml:space="preserve"> had losses in only 1</w:t>
      </w:r>
      <w:r w:rsidRPr="00F23661">
        <w:rPr>
          <w:rFonts w:ascii="Verdana" w:hAnsi="Verdana"/>
          <w:color w:val="auto"/>
          <w:sz w:val="20"/>
          <w:szCs w:val="20"/>
        </w:rPr>
        <w:t xml:space="preserve"> of </w:t>
      </w:r>
      <w:r w:rsidRPr="00F23661">
        <w:rPr>
          <w:rFonts w:ascii="Verdana" w:hAnsi="Verdana"/>
          <w:color w:val="auto"/>
          <w:sz w:val="20"/>
          <w:szCs w:val="20"/>
        </w:rPr>
        <w:t>63</w:t>
      </w:r>
      <w:r w:rsidRPr="00F23661">
        <w:rPr>
          <w:rFonts w:ascii="Verdana" w:hAnsi="Verdana"/>
          <w:color w:val="auto"/>
          <w:sz w:val="20"/>
          <w:szCs w:val="20"/>
        </w:rPr>
        <w:t xml:space="preserve"> </w:t>
      </w:r>
      <w:r w:rsidRPr="00F23661">
        <w:rPr>
          <w:rFonts w:ascii="Verdana" w:hAnsi="Verdana"/>
          <w:color w:val="auto"/>
          <w:sz w:val="20"/>
          <w:szCs w:val="20"/>
        </w:rPr>
        <w:t xml:space="preserve">new </w:t>
      </w:r>
      <w:r w:rsidRPr="00F23661">
        <w:rPr>
          <w:rFonts w:ascii="Verdana" w:hAnsi="Verdana"/>
          <w:color w:val="auto"/>
          <w:sz w:val="20"/>
          <w:szCs w:val="20"/>
        </w:rPr>
        <w:t>cases filed with Federal or State Courts</w:t>
      </w:r>
      <w:r w:rsidRPr="00F23661">
        <w:rPr>
          <w:rFonts w:ascii="Verdana" w:hAnsi="Verdana"/>
          <w:color w:val="auto"/>
          <w:sz w:val="20"/>
          <w:szCs w:val="20"/>
        </w:rPr>
        <w:t xml:space="preserve"> in the US</w:t>
      </w:r>
      <w:r w:rsidRPr="00F23661">
        <w:rPr>
          <w:rFonts w:ascii="Verdana" w:hAnsi="Verdana"/>
          <w:color w:val="auto"/>
          <w:sz w:val="20"/>
          <w:szCs w:val="20"/>
        </w:rPr>
        <w:t xml:space="preserve">. </w:t>
      </w:r>
      <w:r>
        <w:rPr>
          <w:rFonts w:ascii="Verdana" w:hAnsi="Verdana"/>
          <w:color w:val="auto"/>
          <w:sz w:val="20"/>
          <w:szCs w:val="20"/>
        </w:rPr>
        <w:t xml:space="preserve">Details of the </w:t>
      </w:r>
      <w:r>
        <w:rPr>
          <w:rFonts w:ascii="Verdana" w:hAnsi="Verdana"/>
          <w:color w:val="auto"/>
          <w:sz w:val="20"/>
          <w:szCs w:val="20"/>
        </w:rPr>
        <w:t>Fund</w:t>
      </w:r>
      <w:r>
        <w:rPr>
          <w:rFonts w:ascii="Verdana" w:hAnsi="Verdana"/>
          <w:color w:val="auto"/>
          <w:sz w:val="20"/>
          <w:szCs w:val="20"/>
        </w:rPr>
        <w:t>'s</w:t>
      </w:r>
      <w:r w:rsidRPr="00F23661">
        <w:rPr>
          <w:rFonts w:ascii="Verdana" w:hAnsi="Verdana"/>
          <w:color w:val="auto"/>
          <w:sz w:val="20"/>
          <w:szCs w:val="20"/>
        </w:rPr>
        <w:t xml:space="preserve"> losses in relation to </w:t>
      </w:r>
      <w:r>
        <w:rPr>
          <w:rFonts w:ascii="Verdana" w:hAnsi="Verdana"/>
          <w:color w:val="auto"/>
          <w:sz w:val="20"/>
          <w:szCs w:val="20"/>
        </w:rPr>
        <w:t>a</w:t>
      </w:r>
      <w:r w:rsidRPr="00F23661">
        <w:rPr>
          <w:rFonts w:ascii="Verdana" w:hAnsi="Verdana"/>
          <w:color w:val="auto"/>
          <w:sz w:val="20"/>
          <w:szCs w:val="20"/>
        </w:rPr>
        <w:t xml:space="preserve"> </w:t>
      </w:r>
      <w:r>
        <w:rPr>
          <w:rFonts w:ascii="Verdana" w:hAnsi="Verdana"/>
          <w:color w:val="auto"/>
          <w:sz w:val="20"/>
          <w:szCs w:val="20"/>
        </w:rPr>
        <w:t xml:space="preserve">prospective class action </w:t>
      </w:r>
      <w:r w:rsidRPr="00F23661">
        <w:rPr>
          <w:rFonts w:ascii="Verdana" w:hAnsi="Verdana"/>
          <w:color w:val="auto"/>
          <w:sz w:val="20"/>
          <w:szCs w:val="20"/>
        </w:rPr>
        <w:t>against Stericycle Inc</w:t>
      </w:r>
      <w:r w:rsidRPr="00F23661">
        <w:rPr>
          <w:rFonts w:ascii="Verdana" w:hAnsi="Verdana"/>
          <w:color w:val="auto"/>
          <w:sz w:val="20"/>
          <w:szCs w:val="20"/>
        </w:rPr>
        <w:t>.</w:t>
      </w:r>
      <w:r w:rsidRPr="00F23661">
        <w:rPr>
          <w:rFonts w:ascii="Verdana" w:hAnsi="Verdana"/>
          <w:color w:val="auto"/>
          <w:sz w:val="20"/>
          <w:szCs w:val="20"/>
        </w:rPr>
        <w:t xml:space="preserve"> (a US company providing medical waste recycling) </w:t>
      </w:r>
      <w:r>
        <w:rPr>
          <w:rFonts w:ascii="Verdana" w:hAnsi="Verdana"/>
          <w:color w:val="auto"/>
          <w:sz w:val="20"/>
          <w:szCs w:val="20"/>
        </w:rPr>
        <w:t xml:space="preserve">have been considered and it has been confirmed </w:t>
      </w:r>
      <w:r w:rsidRPr="00F23661">
        <w:rPr>
          <w:rFonts w:ascii="Verdana" w:hAnsi="Verdana" w:cs="Cambria"/>
          <w:sz w:val="20"/>
          <w:szCs w:val="20"/>
        </w:rPr>
        <w:t>t</w:t>
      </w:r>
      <w:r>
        <w:rPr>
          <w:rFonts w:ascii="Verdana" w:hAnsi="Verdana" w:cs="Cambria"/>
          <w:sz w:val="20"/>
          <w:szCs w:val="20"/>
        </w:rPr>
        <w:t>hat</w:t>
      </w:r>
      <w:r w:rsidRPr="00F23661">
        <w:rPr>
          <w:rFonts w:ascii="Verdana" w:hAnsi="Verdana" w:cs="Cambria"/>
          <w:sz w:val="20"/>
          <w:szCs w:val="20"/>
        </w:rPr>
        <w:t xml:space="preserve"> Fund's interests </w:t>
      </w:r>
      <w:r w:rsidRPr="00F23661">
        <w:rPr>
          <w:rFonts w:ascii="Verdana" w:hAnsi="Verdana" w:cs="Cambria"/>
          <w:sz w:val="20"/>
          <w:szCs w:val="20"/>
        </w:rPr>
        <w:t>are</w:t>
      </w:r>
      <w:r w:rsidRPr="00F23661">
        <w:rPr>
          <w:rFonts w:ascii="Verdana" w:hAnsi="Verdana" w:cs="Cambria"/>
          <w:sz w:val="20"/>
          <w:szCs w:val="20"/>
        </w:rPr>
        <w:t xml:space="preserve"> </w:t>
      </w:r>
      <w:r w:rsidRPr="00F23661">
        <w:rPr>
          <w:rFonts w:ascii="Verdana" w:hAnsi="Verdana" w:cs="Cambria"/>
          <w:sz w:val="20"/>
          <w:szCs w:val="20"/>
        </w:rPr>
        <w:t>well served</w:t>
      </w:r>
      <w:r w:rsidRPr="00F23661">
        <w:rPr>
          <w:rFonts w:ascii="Verdana" w:hAnsi="Verdana" w:cs="Cambria"/>
          <w:sz w:val="20"/>
          <w:szCs w:val="20"/>
        </w:rPr>
        <w:t xml:space="preserve"> by monitoring the progress of </w:t>
      </w:r>
      <w:r w:rsidRPr="00F23661">
        <w:rPr>
          <w:rFonts w:ascii="Verdana" w:hAnsi="Verdana" w:cs="Cambria"/>
          <w:sz w:val="20"/>
          <w:szCs w:val="20"/>
        </w:rPr>
        <w:t>the c</w:t>
      </w:r>
      <w:r w:rsidRPr="00F23661">
        <w:rPr>
          <w:rFonts w:ascii="Verdana" w:hAnsi="Verdana" w:cs="Cambria"/>
          <w:sz w:val="20"/>
          <w:szCs w:val="20"/>
        </w:rPr>
        <w:t xml:space="preserve">ase and </w:t>
      </w:r>
      <w:r>
        <w:rPr>
          <w:rFonts w:ascii="Verdana" w:hAnsi="Verdana" w:cs="Cambria"/>
          <w:sz w:val="20"/>
          <w:szCs w:val="20"/>
        </w:rPr>
        <w:t>submitting</w:t>
      </w:r>
      <w:r w:rsidRPr="00F23661">
        <w:rPr>
          <w:rFonts w:ascii="Verdana" w:hAnsi="Verdana" w:cs="Cambria"/>
          <w:sz w:val="20"/>
          <w:szCs w:val="20"/>
        </w:rPr>
        <w:t xml:space="preserve"> </w:t>
      </w:r>
      <w:r>
        <w:rPr>
          <w:rFonts w:ascii="Verdana" w:hAnsi="Verdana" w:cs="Cambria"/>
          <w:sz w:val="20"/>
          <w:szCs w:val="20"/>
        </w:rPr>
        <w:t>a claim within the</w:t>
      </w:r>
      <w:r w:rsidRPr="00F23661">
        <w:rPr>
          <w:rFonts w:ascii="Verdana" w:hAnsi="Verdana" w:cs="Cambria"/>
          <w:sz w:val="20"/>
          <w:szCs w:val="20"/>
        </w:rPr>
        <w:t xml:space="preserve"> filing deadline. </w:t>
      </w:r>
      <w:r w:rsidRPr="00F23661">
        <w:rPr>
          <w:rFonts w:ascii="Verdana" w:hAnsi="Verdana" w:cs="Cambria"/>
          <w:sz w:val="20"/>
          <w:szCs w:val="20"/>
        </w:rPr>
        <w:t>There w</w:t>
      </w:r>
      <w:r w:rsidRPr="00F23661">
        <w:rPr>
          <w:rFonts w:ascii="Verdana" w:hAnsi="Verdana" w:cs="Cambria"/>
          <w:sz w:val="20"/>
          <w:szCs w:val="20"/>
        </w:rPr>
        <w:t xml:space="preserve">as only one </w:t>
      </w:r>
      <w:r>
        <w:rPr>
          <w:rFonts w:ascii="Verdana" w:hAnsi="Verdana" w:cs="Cambria"/>
          <w:sz w:val="20"/>
          <w:szCs w:val="20"/>
        </w:rPr>
        <w:t xml:space="preserve">new </w:t>
      </w:r>
      <w:r w:rsidRPr="00F23661">
        <w:rPr>
          <w:rFonts w:ascii="Verdana" w:hAnsi="Verdana" w:cs="Cambria"/>
          <w:sz w:val="20"/>
          <w:szCs w:val="20"/>
        </w:rPr>
        <w:t>non-US case</w:t>
      </w:r>
      <w:r w:rsidRPr="00F23661">
        <w:rPr>
          <w:rFonts w:ascii="Verdana" w:hAnsi="Verdana" w:cs="Cambria"/>
          <w:sz w:val="20"/>
          <w:szCs w:val="20"/>
        </w:rPr>
        <w:t xml:space="preserve"> in which the Fund had interests in the period </w:t>
      </w:r>
      <w:r w:rsidRPr="00F23661">
        <w:rPr>
          <w:rFonts w:ascii="Verdana" w:hAnsi="Verdana" w:cs="Cambria"/>
          <w:sz w:val="20"/>
          <w:szCs w:val="20"/>
        </w:rPr>
        <w:t>(Toshiba Corp) but it has been clarified that th</w:t>
      </w:r>
      <w:r w:rsidRPr="00F23661">
        <w:rPr>
          <w:rFonts w:ascii="Verdana" w:hAnsi="Verdana" w:cs="Cambria"/>
          <w:sz w:val="20"/>
          <w:szCs w:val="20"/>
        </w:rPr>
        <w:t>e Fund would have no claim for damages having sold its shares long before fraud was revealed in 2015.  N</w:t>
      </w:r>
      <w:r w:rsidRPr="00F23661">
        <w:rPr>
          <w:rFonts w:ascii="Verdana" w:hAnsi="Verdana" w:cs="Cambria"/>
          <w:sz w:val="20"/>
          <w:szCs w:val="20"/>
        </w:rPr>
        <w:t xml:space="preserve">o distributions </w:t>
      </w:r>
      <w:r w:rsidRPr="00F23661">
        <w:rPr>
          <w:rFonts w:ascii="Verdana" w:hAnsi="Verdana" w:cs="Cambria"/>
          <w:sz w:val="20"/>
          <w:szCs w:val="20"/>
        </w:rPr>
        <w:lastRenderedPageBreak/>
        <w:t xml:space="preserve">were received in </w:t>
      </w:r>
      <w:r w:rsidRPr="00F23661">
        <w:rPr>
          <w:rFonts w:ascii="Verdana" w:hAnsi="Verdana" w:cs="Cambria"/>
          <w:sz w:val="20"/>
          <w:szCs w:val="20"/>
        </w:rPr>
        <w:t>quarter 3</w:t>
      </w:r>
      <w:r w:rsidRPr="00F23661">
        <w:rPr>
          <w:rFonts w:ascii="Verdana" w:hAnsi="Verdana" w:cs="Cambria"/>
          <w:sz w:val="20"/>
          <w:szCs w:val="20"/>
        </w:rPr>
        <w:t xml:space="preserve"> in </w:t>
      </w:r>
      <w:r w:rsidRPr="00F23661">
        <w:rPr>
          <w:rFonts w:ascii="Verdana" w:hAnsi="Verdana" w:cs="Cambria"/>
          <w:sz w:val="20"/>
          <w:szCs w:val="20"/>
        </w:rPr>
        <w:t xml:space="preserve">respect of </w:t>
      </w:r>
      <w:r w:rsidRPr="00F23661">
        <w:rPr>
          <w:rFonts w:ascii="Verdana" w:hAnsi="Verdana" w:cs="Cambria"/>
          <w:sz w:val="20"/>
          <w:szCs w:val="20"/>
        </w:rPr>
        <w:t xml:space="preserve">the Funds share of recovered losses from </w:t>
      </w:r>
      <w:r w:rsidRPr="00F23661">
        <w:rPr>
          <w:rFonts w:ascii="Verdana" w:hAnsi="Verdana" w:cs="Cambria"/>
          <w:sz w:val="20"/>
          <w:szCs w:val="20"/>
        </w:rPr>
        <w:t>settled cases.</w:t>
      </w:r>
    </w:p>
    <w:p w:rsidR="007E381E" w:rsidRPr="00F23661" w:rsidRDefault="0070520C" w:rsidP="007E381E">
      <w:pPr>
        <w:pStyle w:val="Default"/>
        <w:rPr>
          <w:rFonts w:ascii="Verdana" w:eastAsiaTheme="minorHAnsi" w:hAnsi="Verdana" w:cs="Cambria"/>
          <w:b/>
          <w:sz w:val="20"/>
          <w:szCs w:val="20"/>
        </w:rPr>
      </w:pPr>
    </w:p>
    <w:p w:rsidR="007E381E" w:rsidRPr="00F23661" w:rsidRDefault="0070520C" w:rsidP="007E381E">
      <w:pPr>
        <w:pStyle w:val="Default"/>
        <w:rPr>
          <w:rFonts w:ascii="Verdana" w:hAnsi="Verdana" w:cs="Arial"/>
          <w:b/>
          <w:bCs/>
          <w:color w:val="54BBAB" w:themeColor="text2"/>
          <w:sz w:val="20"/>
          <w:szCs w:val="20"/>
        </w:rPr>
      </w:pPr>
      <w:r w:rsidRPr="00F23661">
        <w:rPr>
          <w:rFonts w:ascii="Verdana" w:hAnsi="Verdana" w:cs="Arial"/>
          <w:b/>
          <w:bCs/>
          <w:color w:val="54BBAB" w:themeColor="text2"/>
          <w:sz w:val="20"/>
          <w:szCs w:val="20"/>
        </w:rPr>
        <w:t xml:space="preserve"> </w:t>
      </w:r>
    </w:p>
    <w:p w:rsidR="00197BA3" w:rsidRPr="00F23661" w:rsidRDefault="0070520C" w:rsidP="00220A9C">
      <w:pPr>
        <w:pStyle w:val="Default"/>
        <w:numPr>
          <w:ilvl w:val="0"/>
          <w:numId w:val="5"/>
        </w:numPr>
        <w:ind w:hanging="720"/>
        <w:rPr>
          <w:rFonts w:ascii="Verdana" w:hAnsi="Verdana" w:cs="Arial"/>
          <w:b/>
          <w:bCs/>
          <w:color w:val="54BBAB" w:themeColor="text2"/>
          <w:sz w:val="20"/>
          <w:szCs w:val="20"/>
        </w:rPr>
      </w:pPr>
      <w:r w:rsidRPr="00F23661">
        <w:rPr>
          <w:rFonts w:ascii="Verdana" w:hAnsi="Verdana" w:cs="Arial"/>
          <w:b/>
          <w:bCs/>
          <w:color w:val="54BBAB" w:themeColor="text2"/>
          <w:sz w:val="20"/>
          <w:szCs w:val="20"/>
        </w:rPr>
        <w:t>Active Investing</w:t>
      </w:r>
    </w:p>
    <w:p w:rsidR="001B6BBC" w:rsidRPr="00F23661" w:rsidRDefault="0070520C" w:rsidP="00911FF3">
      <w:pPr>
        <w:pStyle w:val="Default"/>
        <w:rPr>
          <w:rFonts w:ascii="Verdana" w:hAnsi="Verdana"/>
          <w:iCs/>
          <w:sz w:val="20"/>
          <w:szCs w:val="20"/>
        </w:rPr>
      </w:pPr>
    </w:p>
    <w:p w:rsidR="001B6BBC" w:rsidRPr="00F23661" w:rsidRDefault="0070520C" w:rsidP="00911FF3">
      <w:pPr>
        <w:pStyle w:val="Default"/>
        <w:rPr>
          <w:rFonts w:ascii="Verdana" w:hAnsi="Verdana"/>
          <w:iCs/>
          <w:sz w:val="20"/>
          <w:szCs w:val="20"/>
        </w:rPr>
      </w:pPr>
      <w:r w:rsidRPr="00F23661">
        <w:rPr>
          <w:rFonts w:ascii="Verdana" w:hAnsi="Verdana"/>
          <w:iCs/>
          <w:sz w:val="20"/>
          <w:szCs w:val="20"/>
        </w:rPr>
        <w:t xml:space="preserve">This section of the RI report is dedicated to updating the Committee on </w:t>
      </w:r>
      <w:r>
        <w:rPr>
          <w:rFonts w:ascii="Verdana" w:hAnsi="Verdana"/>
          <w:iCs/>
          <w:sz w:val="20"/>
          <w:szCs w:val="20"/>
        </w:rPr>
        <w:t xml:space="preserve">key </w:t>
      </w:r>
      <w:r w:rsidRPr="00F23661">
        <w:rPr>
          <w:rFonts w:ascii="Verdana" w:hAnsi="Verdana"/>
          <w:iCs/>
          <w:sz w:val="20"/>
          <w:szCs w:val="20"/>
        </w:rPr>
        <w:t>developments within stewardship and RI and interpreting these within the context of the Fund's responsibilities and interests.</w:t>
      </w:r>
    </w:p>
    <w:p w:rsidR="001B6BBC" w:rsidRPr="00F23661" w:rsidRDefault="0070520C" w:rsidP="001B6BBC">
      <w:pPr>
        <w:autoSpaceDE w:val="0"/>
        <w:autoSpaceDN w:val="0"/>
        <w:adjustRightInd w:val="0"/>
        <w:spacing w:after="0" w:line="240" w:lineRule="auto"/>
        <w:rPr>
          <w:rFonts w:ascii="Verdana" w:hAnsi="Verdana" w:cs="Verdana"/>
          <w:sz w:val="20"/>
          <w:szCs w:val="20"/>
        </w:rPr>
      </w:pPr>
    </w:p>
    <w:p w:rsidR="001B6BBC" w:rsidRDefault="0070520C" w:rsidP="002A30C0">
      <w:pPr>
        <w:pStyle w:val="ListParagraph"/>
        <w:numPr>
          <w:ilvl w:val="0"/>
          <w:numId w:val="9"/>
        </w:numPr>
        <w:autoSpaceDE w:val="0"/>
        <w:autoSpaceDN w:val="0"/>
        <w:adjustRightInd w:val="0"/>
        <w:spacing w:after="0" w:line="240" w:lineRule="auto"/>
        <w:ind w:hanging="720"/>
        <w:rPr>
          <w:rFonts w:ascii="Verdana" w:hAnsi="Verdana" w:cs="Verdana"/>
          <w:sz w:val="20"/>
          <w:szCs w:val="20"/>
        </w:rPr>
      </w:pPr>
      <w:r w:rsidRPr="002A30C0">
        <w:rPr>
          <w:rFonts w:ascii="Verdana" w:hAnsi="Verdana" w:cs="Verdana"/>
          <w:sz w:val="20"/>
          <w:szCs w:val="20"/>
        </w:rPr>
        <w:t>New LGPS Investment Regulations and Guidance</w:t>
      </w:r>
    </w:p>
    <w:p w:rsidR="002A30C0" w:rsidRDefault="0070520C" w:rsidP="002A30C0">
      <w:pPr>
        <w:pStyle w:val="ListParagraph"/>
        <w:autoSpaceDE w:val="0"/>
        <w:autoSpaceDN w:val="0"/>
        <w:adjustRightInd w:val="0"/>
        <w:spacing w:after="0" w:line="240" w:lineRule="auto"/>
        <w:rPr>
          <w:rFonts w:ascii="Verdana" w:hAnsi="Verdana" w:cs="Verdana"/>
          <w:sz w:val="20"/>
          <w:szCs w:val="20"/>
        </w:rPr>
      </w:pPr>
    </w:p>
    <w:p w:rsidR="009A40C9" w:rsidRPr="009A40C9" w:rsidRDefault="0070520C" w:rsidP="009A40C9">
      <w:pPr>
        <w:pStyle w:val="ListParagraph"/>
        <w:ind w:left="0"/>
        <w:rPr>
          <w:rFonts w:ascii="Verdana" w:hAnsi="Verdana"/>
          <w:sz w:val="20"/>
          <w:szCs w:val="20"/>
        </w:rPr>
      </w:pPr>
      <w:r w:rsidRPr="009A40C9">
        <w:rPr>
          <w:rFonts w:ascii="Verdana" w:hAnsi="Verdana"/>
          <w:sz w:val="20"/>
          <w:szCs w:val="20"/>
        </w:rPr>
        <w:t xml:space="preserve">Since </w:t>
      </w:r>
      <w:r w:rsidRPr="009A40C9">
        <w:rPr>
          <w:rFonts w:ascii="Verdana" w:hAnsi="Verdana"/>
          <w:sz w:val="20"/>
          <w:szCs w:val="20"/>
        </w:rPr>
        <w:t>the last meeting of the Committee the Government has published replacement LGPS Investment Regulations which facilitate investment pooling. The new Regulations came into force on 1</w:t>
      </w:r>
      <w:r w:rsidRPr="009A40C9">
        <w:rPr>
          <w:rFonts w:ascii="Verdana" w:hAnsi="Verdana"/>
          <w:sz w:val="20"/>
          <w:szCs w:val="20"/>
          <w:vertAlign w:val="superscript"/>
        </w:rPr>
        <w:t>st</w:t>
      </w:r>
      <w:r w:rsidRPr="009A40C9">
        <w:rPr>
          <w:rFonts w:ascii="Verdana" w:hAnsi="Verdana"/>
          <w:sz w:val="20"/>
          <w:szCs w:val="20"/>
        </w:rPr>
        <w:t xml:space="preserve"> November 2016 and contain the requirement for Administering Authorities t</w:t>
      </w:r>
      <w:r w:rsidRPr="009A40C9">
        <w:rPr>
          <w:rFonts w:ascii="Verdana" w:hAnsi="Verdana"/>
          <w:sz w:val="20"/>
          <w:szCs w:val="20"/>
        </w:rPr>
        <w:t>o formulate and publish an Investment Strategy Statement which includes:</w:t>
      </w:r>
    </w:p>
    <w:p w:rsidR="009A40C9" w:rsidRPr="009A40C9" w:rsidRDefault="0070520C" w:rsidP="009A40C9">
      <w:pPr>
        <w:pStyle w:val="ListParagraph"/>
        <w:ind w:left="0"/>
        <w:rPr>
          <w:rFonts w:ascii="Verdana" w:hAnsi="Verdana"/>
          <w:sz w:val="20"/>
          <w:szCs w:val="20"/>
        </w:rPr>
      </w:pPr>
      <w:r w:rsidRPr="009A40C9">
        <w:rPr>
          <w:rFonts w:ascii="Verdana" w:hAnsi="Verdana"/>
          <w:sz w:val="20"/>
          <w:szCs w:val="20"/>
        </w:rPr>
        <w:t>7 (2) e - the authority's policy on how social, environmental, and corporate governance considerations are taken into account in the selection, non-selection, retention and realisatio</w:t>
      </w:r>
      <w:r w:rsidRPr="009A40C9">
        <w:rPr>
          <w:rFonts w:ascii="Verdana" w:hAnsi="Verdana"/>
          <w:sz w:val="20"/>
          <w:szCs w:val="20"/>
        </w:rPr>
        <w:t xml:space="preserve">n of investments; </w:t>
      </w:r>
    </w:p>
    <w:p w:rsidR="009A40C9" w:rsidRPr="009A40C9" w:rsidRDefault="0070520C" w:rsidP="009A40C9">
      <w:pPr>
        <w:pStyle w:val="ListParagraph"/>
        <w:ind w:left="0"/>
        <w:rPr>
          <w:rFonts w:ascii="Verdana" w:hAnsi="Verdana"/>
          <w:sz w:val="20"/>
          <w:szCs w:val="20"/>
        </w:rPr>
      </w:pPr>
      <w:r w:rsidRPr="009A40C9">
        <w:rPr>
          <w:rFonts w:ascii="Verdana" w:hAnsi="Verdana"/>
          <w:sz w:val="20"/>
          <w:szCs w:val="20"/>
        </w:rPr>
        <w:t>7 (2) f – the authority's policy on the exercise of the rights (including voting rights) attaching to investments.</w:t>
      </w:r>
    </w:p>
    <w:p w:rsidR="009A40C9" w:rsidRPr="009A40C9" w:rsidRDefault="0070520C" w:rsidP="009A40C9">
      <w:pPr>
        <w:pStyle w:val="ListParagraph"/>
        <w:ind w:left="0"/>
        <w:rPr>
          <w:rFonts w:ascii="Verdana" w:hAnsi="Verdana"/>
          <w:sz w:val="20"/>
          <w:szCs w:val="20"/>
        </w:rPr>
      </w:pPr>
    </w:p>
    <w:p w:rsidR="009A40C9" w:rsidRPr="009A40C9" w:rsidRDefault="0070520C" w:rsidP="009A40C9">
      <w:pPr>
        <w:pStyle w:val="ListParagraph"/>
        <w:ind w:left="0"/>
        <w:rPr>
          <w:rFonts w:ascii="Verdana" w:hAnsi="Verdana"/>
          <w:sz w:val="20"/>
          <w:szCs w:val="20"/>
        </w:rPr>
      </w:pPr>
      <w:r w:rsidRPr="009A40C9">
        <w:rPr>
          <w:rFonts w:ascii="Verdana" w:hAnsi="Verdana"/>
          <w:sz w:val="20"/>
          <w:szCs w:val="20"/>
        </w:rPr>
        <w:t>Within its "Local Government Pension Scheme: Guidance on Preparing and Maintaining an Investment Strategy Statement" DCLG</w:t>
      </w:r>
      <w:r w:rsidRPr="009A40C9">
        <w:rPr>
          <w:rFonts w:ascii="Verdana" w:hAnsi="Verdana"/>
          <w:sz w:val="20"/>
          <w:szCs w:val="20"/>
        </w:rPr>
        <w:t xml:space="preserve"> has further clarified requirements under paragraphs 7 (2) e and 7 (2) and this section of the Gu</w:t>
      </w:r>
      <w:r>
        <w:rPr>
          <w:rFonts w:ascii="Verdana" w:hAnsi="Verdana"/>
          <w:sz w:val="20"/>
          <w:szCs w:val="20"/>
        </w:rPr>
        <w:t>idance is re-produced at A</w:t>
      </w:r>
      <w:r>
        <w:rPr>
          <w:rFonts w:ascii="Verdana" w:hAnsi="Verdana"/>
          <w:sz w:val="20"/>
          <w:szCs w:val="20"/>
        </w:rPr>
        <w:t>ppendi</w:t>
      </w:r>
      <w:r>
        <w:rPr>
          <w:rFonts w:ascii="Verdana" w:hAnsi="Verdana"/>
          <w:sz w:val="20"/>
          <w:szCs w:val="20"/>
        </w:rPr>
        <w:t>x 2</w:t>
      </w:r>
      <w:r w:rsidRPr="009A40C9">
        <w:rPr>
          <w:rFonts w:ascii="Verdana" w:hAnsi="Verdana"/>
          <w:sz w:val="20"/>
          <w:szCs w:val="20"/>
        </w:rPr>
        <w:t xml:space="preserve">. </w:t>
      </w:r>
    </w:p>
    <w:p w:rsidR="009A40C9" w:rsidRPr="009A40C9" w:rsidRDefault="0070520C" w:rsidP="009A40C9">
      <w:pPr>
        <w:pStyle w:val="ListParagraph"/>
        <w:ind w:left="0"/>
        <w:rPr>
          <w:rFonts w:ascii="Verdana" w:hAnsi="Verdana"/>
          <w:sz w:val="20"/>
          <w:szCs w:val="20"/>
        </w:rPr>
      </w:pPr>
    </w:p>
    <w:p w:rsidR="009A40C9" w:rsidRPr="009A40C9" w:rsidRDefault="0070520C" w:rsidP="009A40C9">
      <w:pPr>
        <w:pStyle w:val="ListParagraph"/>
        <w:ind w:left="0"/>
        <w:rPr>
          <w:rFonts w:ascii="Verdana" w:hAnsi="Verdana"/>
          <w:sz w:val="20"/>
          <w:szCs w:val="20"/>
        </w:rPr>
      </w:pPr>
      <w:r w:rsidRPr="009A40C9">
        <w:rPr>
          <w:rFonts w:ascii="Verdana" w:hAnsi="Verdana"/>
          <w:sz w:val="20"/>
          <w:szCs w:val="20"/>
        </w:rPr>
        <w:t>The surprise contained within the guidance is confirmation that schemes may take purely non-financial considerations int</w:t>
      </w:r>
      <w:r w:rsidRPr="009A40C9">
        <w:rPr>
          <w:rFonts w:ascii="Verdana" w:hAnsi="Verdana"/>
          <w:sz w:val="20"/>
          <w:szCs w:val="20"/>
        </w:rPr>
        <w:t>o account provided that doing so does not involve significant risk of financial detriment. This is not a reference to it being permissible to consider ESG factors (which are now being referred to as financially material to investment performance) but an ad</w:t>
      </w:r>
      <w:r w:rsidRPr="009A40C9">
        <w:rPr>
          <w:rFonts w:ascii="Verdana" w:hAnsi="Verdana"/>
          <w:sz w:val="20"/>
          <w:szCs w:val="20"/>
        </w:rPr>
        <w:t>ditional concession which opens the door to policies which pursue specific social outcomes and impacts in line with themes prioritised by scheme members.  The ability to forgo some of the financial return on investment in order to generate social impact is</w:t>
      </w:r>
      <w:r w:rsidRPr="009A40C9">
        <w:rPr>
          <w:rFonts w:ascii="Verdana" w:hAnsi="Verdana"/>
          <w:sz w:val="20"/>
          <w:szCs w:val="20"/>
        </w:rPr>
        <w:t xml:space="preserve"> qualified by </w:t>
      </w:r>
      <w:r>
        <w:rPr>
          <w:rFonts w:ascii="Verdana" w:hAnsi="Verdana"/>
          <w:sz w:val="20"/>
          <w:szCs w:val="20"/>
        </w:rPr>
        <w:t>the</w:t>
      </w:r>
      <w:r w:rsidRPr="009A40C9">
        <w:rPr>
          <w:rFonts w:ascii="Verdana" w:hAnsi="Verdana"/>
          <w:sz w:val="20"/>
          <w:szCs w:val="20"/>
        </w:rPr>
        <w:t xml:space="preserve"> </w:t>
      </w:r>
      <w:r>
        <w:rPr>
          <w:rFonts w:ascii="Verdana" w:hAnsi="Verdana"/>
          <w:sz w:val="20"/>
          <w:szCs w:val="20"/>
        </w:rPr>
        <w:t>need for there to be</w:t>
      </w:r>
      <w:r w:rsidRPr="009A40C9">
        <w:rPr>
          <w:rFonts w:ascii="Verdana" w:hAnsi="Verdana"/>
          <w:sz w:val="20"/>
          <w:szCs w:val="20"/>
        </w:rPr>
        <w:t xml:space="preserve"> no risk of significant financial detriment</w:t>
      </w:r>
      <w:r>
        <w:rPr>
          <w:rFonts w:ascii="Verdana" w:hAnsi="Verdana"/>
          <w:sz w:val="20"/>
          <w:szCs w:val="20"/>
        </w:rPr>
        <w:t xml:space="preserve"> from doing so </w:t>
      </w:r>
      <w:r w:rsidRPr="009A40C9">
        <w:rPr>
          <w:rFonts w:ascii="Verdana" w:hAnsi="Verdana"/>
          <w:sz w:val="20"/>
          <w:szCs w:val="20"/>
        </w:rPr>
        <w:t>– a form of words which is clearly open to different interpretations of the term "significant".</w:t>
      </w:r>
    </w:p>
    <w:p w:rsidR="009A40C9" w:rsidRPr="009A40C9" w:rsidRDefault="0070520C" w:rsidP="009A40C9">
      <w:pPr>
        <w:pStyle w:val="ListParagraph"/>
        <w:ind w:left="0"/>
        <w:rPr>
          <w:rFonts w:ascii="Verdana" w:hAnsi="Verdana"/>
          <w:sz w:val="20"/>
          <w:szCs w:val="20"/>
        </w:rPr>
      </w:pPr>
    </w:p>
    <w:p w:rsidR="009A40C9" w:rsidRPr="009A40C9" w:rsidRDefault="0070520C" w:rsidP="009A40C9">
      <w:pPr>
        <w:pStyle w:val="ListParagraph"/>
        <w:ind w:left="0"/>
        <w:rPr>
          <w:rFonts w:ascii="Verdana" w:hAnsi="Verdana"/>
          <w:sz w:val="20"/>
          <w:szCs w:val="20"/>
        </w:rPr>
      </w:pPr>
      <w:r w:rsidRPr="009A40C9">
        <w:rPr>
          <w:rFonts w:ascii="Verdana" w:hAnsi="Verdana"/>
          <w:sz w:val="20"/>
          <w:szCs w:val="20"/>
        </w:rPr>
        <w:t xml:space="preserve">This </w:t>
      </w:r>
      <w:r>
        <w:rPr>
          <w:rFonts w:ascii="Verdana" w:hAnsi="Verdana"/>
          <w:sz w:val="20"/>
          <w:szCs w:val="20"/>
        </w:rPr>
        <w:t xml:space="preserve">is an </w:t>
      </w:r>
      <w:r w:rsidRPr="009A40C9">
        <w:rPr>
          <w:rFonts w:ascii="Verdana" w:hAnsi="Verdana"/>
          <w:sz w:val="20"/>
          <w:szCs w:val="20"/>
        </w:rPr>
        <w:t>extra concession w</w:t>
      </w:r>
      <w:r>
        <w:rPr>
          <w:rFonts w:ascii="Verdana" w:hAnsi="Verdana"/>
          <w:sz w:val="20"/>
          <w:szCs w:val="20"/>
        </w:rPr>
        <w:t>hich was un</w:t>
      </w:r>
      <w:r w:rsidRPr="009A40C9">
        <w:rPr>
          <w:rFonts w:ascii="Verdana" w:hAnsi="Verdana"/>
          <w:sz w:val="20"/>
          <w:szCs w:val="20"/>
        </w:rPr>
        <w:t>anticipated and appears</w:t>
      </w:r>
      <w:r w:rsidRPr="009A40C9">
        <w:rPr>
          <w:rFonts w:ascii="Verdana" w:hAnsi="Verdana"/>
          <w:sz w:val="20"/>
          <w:szCs w:val="20"/>
        </w:rPr>
        <w:t xml:space="preserve"> to be in response to the </w:t>
      </w:r>
      <w:r>
        <w:rPr>
          <w:rFonts w:ascii="Verdana" w:hAnsi="Verdana"/>
          <w:sz w:val="20"/>
          <w:szCs w:val="20"/>
        </w:rPr>
        <w:t>substantial concern</w:t>
      </w:r>
      <w:r>
        <w:rPr>
          <w:rFonts w:ascii="Verdana" w:hAnsi="Verdana"/>
          <w:sz w:val="20"/>
          <w:szCs w:val="20"/>
        </w:rPr>
        <w:t>s</w:t>
      </w:r>
      <w:r w:rsidRPr="009A40C9">
        <w:rPr>
          <w:rFonts w:ascii="Verdana" w:hAnsi="Verdana"/>
          <w:sz w:val="20"/>
          <w:szCs w:val="20"/>
        </w:rPr>
        <w:t xml:space="preserve"> expressed at the original consultation's embargoing of </w:t>
      </w:r>
      <w:r>
        <w:rPr>
          <w:rFonts w:ascii="Verdana" w:hAnsi="Verdana"/>
          <w:sz w:val="20"/>
          <w:szCs w:val="20"/>
        </w:rPr>
        <w:t xml:space="preserve">any </w:t>
      </w:r>
      <w:r w:rsidRPr="009A40C9">
        <w:rPr>
          <w:rFonts w:ascii="Verdana" w:hAnsi="Verdana"/>
          <w:sz w:val="20"/>
          <w:szCs w:val="20"/>
        </w:rPr>
        <w:t>policies of divestment and exclusion which run contrary to UK Foreign and/or defence policy. These embargoes remain unchanged within the final guidanc</w:t>
      </w:r>
      <w:r w:rsidRPr="009A40C9">
        <w:rPr>
          <w:rFonts w:ascii="Verdana" w:hAnsi="Verdana"/>
          <w:sz w:val="20"/>
          <w:szCs w:val="20"/>
        </w:rPr>
        <w:t xml:space="preserve">e, but are now balanced by the sanction </w:t>
      </w:r>
      <w:r>
        <w:rPr>
          <w:rFonts w:ascii="Verdana" w:hAnsi="Verdana"/>
          <w:sz w:val="20"/>
          <w:szCs w:val="20"/>
        </w:rPr>
        <w:t xml:space="preserve">given </w:t>
      </w:r>
      <w:r w:rsidRPr="009A40C9">
        <w:rPr>
          <w:rFonts w:ascii="Verdana" w:hAnsi="Verdana"/>
          <w:sz w:val="20"/>
          <w:szCs w:val="20"/>
        </w:rPr>
        <w:t xml:space="preserve">for pursuing other routes to positive social impact.    </w:t>
      </w:r>
    </w:p>
    <w:p w:rsidR="009A40C9" w:rsidRPr="009A40C9" w:rsidRDefault="0070520C" w:rsidP="009A40C9">
      <w:pPr>
        <w:pStyle w:val="ListParagraph"/>
        <w:ind w:left="0"/>
        <w:rPr>
          <w:rFonts w:ascii="Verdana" w:hAnsi="Verdana"/>
          <w:sz w:val="20"/>
          <w:szCs w:val="20"/>
        </w:rPr>
      </w:pPr>
    </w:p>
    <w:p w:rsidR="00FE7C04" w:rsidRPr="009A40C9" w:rsidRDefault="0070520C" w:rsidP="00FE7C04">
      <w:pPr>
        <w:pStyle w:val="ListParagraph"/>
        <w:ind w:left="0"/>
        <w:rPr>
          <w:rFonts w:ascii="Verdana" w:hAnsi="Verdana"/>
          <w:sz w:val="20"/>
          <w:szCs w:val="20"/>
        </w:rPr>
      </w:pPr>
      <w:r>
        <w:rPr>
          <w:rFonts w:ascii="Verdana" w:hAnsi="Verdana"/>
          <w:sz w:val="20"/>
          <w:szCs w:val="20"/>
        </w:rPr>
        <w:t>T</w:t>
      </w:r>
      <w:r>
        <w:rPr>
          <w:rFonts w:ascii="Verdana" w:hAnsi="Verdana"/>
          <w:sz w:val="20"/>
          <w:szCs w:val="20"/>
        </w:rPr>
        <w:t xml:space="preserve">he new guidance implies that </w:t>
      </w:r>
      <w:r>
        <w:rPr>
          <w:rFonts w:ascii="Verdana" w:hAnsi="Verdana"/>
          <w:sz w:val="20"/>
          <w:szCs w:val="20"/>
        </w:rPr>
        <w:t>a decision</w:t>
      </w:r>
      <w:r>
        <w:rPr>
          <w:rFonts w:ascii="Verdana" w:hAnsi="Verdana"/>
          <w:sz w:val="20"/>
          <w:szCs w:val="20"/>
        </w:rPr>
        <w:t xml:space="preserve"> to target </w:t>
      </w:r>
      <w:r>
        <w:rPr>
          <w:rFonts w:ascii="Verdana" w:hAnsi="Verdana"/>
          <w:sz w:val="20"/>
          <w:szCs w:val="20"/>
        </w:rPr>
        <w:t xml:space="preserve">specific </w:t>
      </w:r>
      <w:r>
        <w:rPr>
          <w:rFonts w:ascii="Verdana" w:hAnsi="Verdana"/>
          <w:sz w:val="20"/>
          <w:szCs w:val="20"/>
        </w:rPr>
        <w:t xml:space="preserve">social impacts </w:t>
      </w:r>
      <w:r>
        <w:rPr>
          <w:rFonts w:ascii="Verdana" w:hAnsi="Verdana"/>
          <w:sz w:val="20"/>
          <w:szCs w:val="20"/>
        </w:rPr>
        <w:t>is</w:t>
      </w:r>
      <w:r>
        <w:rPr>
          <w:rFonts w:ascii="Verdana" w:hAnsi="Verdana"/>
          <w:sz w:val="20"/>
          <w:szCs w:val="20"/>
        </w:rPr>
        <w:t xml:space="preserve"> not in conflict with </w:t>
      </w:r>
      <w:r>
        <w:rPr>
          <w:rFonts w:ascii="Verdana" w:hAnsi="Verdana"/>
          <w:sz w:val="20"/>
          <w:szCs w:val="20"/>
        </w:rPr>
        <w:t xml:space="preserve">fulfilling </w:t>
      </w:r>
      <w:r>
        <w:rPr>
          <w:rFonts w:ascii="Verdana" w:hAnsi="Verdana"/>
          <w:sz w:val="20"/>
          <w:szCs w:val="20"/>
        </w:rPr>
        <w:t>the</w:t>
      </w:r>
      <w:r w:rsidRPr="009A40C9">
        <w:rPr>
          <w:rFonts w:ascii="Verdana" w:hAnsi="Verdana"/>
          <w:sz w:val="20"/>
          <w:szCs w:val="20"/>
        </w:rPr>
        <w:t xml:space="preserve"> underlying fiduciary duty to maximise risk adjusted returns</w:t>
      </w:r>
      <w:r>
        <w:rPr>
          <w:rFonts w:ascii="Verdana" w:hAnsi="Verdana"/>
          <w:sz w:val="20"/>
          <w:szCs w:val="20"/>
        </w:rPr>
        <w:t xml:space="preserve"> so long as </w:t>
      </w:r>
      <w:r>
        <w:rPr>
          <w:rFonts w:ascii="Verdana" w:hAnsi="Verdana"/>
          <w:sz w:val="20"/>
          <w:szCs w:val="20"/>
        </w:rPr>
        <w:t xml:space="preserve">the </w:t>
      </w:r>
      <w:r>
        <w:rPr>
          <w:rFonts w:ascii="Verdana" w:hAnsi="Verdana"/>
          <w:sz w:val="20"/>
          <w:szCs w:val="20"/>
        </w:rPr>
        <w:t>Administering Authority</w:t>
      </w:r>
      <w:r>
        <w:rPr>
          <w:rFonts w:ascii="Verdana" w:hAnsi="Verdana"/>
          <w:sz w:val="20"/>
          <w:szCs w:val="20"/>
        </w:rPr>
        <w:t xml:space="preserve"> has reason to believe scheme members share the concern for social impact and </w:t>
      </w:r>
      <w:r>
        <w:rPr>
          <w:rFonts w:ascii="Verdana" w:hAnsi="Verdana"/>
          <w:sz w:val="20"/>
          <w:szCs w:val="20"/>
        </w:rPr>
        <w:t xml:space="preserve">so long as </w:t>
      </w:r>
      <w:r>
        <w:rPr>
          <w:rFonts w:ascii="Verdana" w:hAnsi="Verdana"/>
          <w:sz w:val="20"/>
          <w:szCs w:val="20"/>
        </w:rPr>
        <w:t xml:space="preserve">financial return remains the predominant </w:t>
      </w:r>
      <w:r>
        <w:rPr>
          <w:rFonts w:ascii="Verdana" w:hAnsi="Verdana"/>
          <w:sz w:val="20"/>
          <w:szCs w:val="20"/>
        </w:rPr>
        <w:t>objective</w:t>
      </w:r>
      <w:r>
        <w:rPr>
          <w:rFonts w:ascii="Verdana" w:hAnsi="Verdana"/>
          <w:sz w:val="20"/>
          <w:szCs w:val="20"/>
        </w:rPr>
        <w:t xml:space="preserve">. </w:t>
      </w:r>
      <w:r>
        <w:rPr>
          <w:rFonts w:ascii="Verdana" w:hAnsi="Verdana"/>
          <w:sz w:val="20"/>
          <w:szCs w:val="20"/>
        </w:rPr>
        <w:t xml:space="preserve">Discretion over </w:t>
      </w:r>
      <w:r>
        <w:rPr>
          <w:rFonts w:ascii="Verdana" w:hAnsi="Verdana"/>
          <w:sz w:val="20"/>
          <w:szCs w:val="20"/>
        </w:rPr>
        <w:t xml:space="preserve">how and whether to </w:t>
      </w:r>
      <w:r>
        <w:rPr>
          <w:rFonts w:ascii="Verdana" w:hAnsi="Verdana"/>
          <w:sz w:val="20"/>
          <w:szCs w:val="20"/>
        </w:rPr>
        <w:t>pursue</w:t>
      </w:r>
      <w:r>
        <w:rPr>
          <w:rFonts w:ascii="Verdana" w:hAnsi="Verdana"/>
          <w:sz w:val="20"/>
          <w:szCs w:val="20"/>
        </w:rPr>
        <w:t xml:space="preserve"> social i</w:t>
      </w:r>
      <w:r>
        <w:rPr>
          <w:rFonts w:ascii="Verdana" w:hAnsi="Verdana"/>
          <w:sz w:val="20"/>
          <w:szCs w:val="20"/>
        </w:rPr>
        <w:t xml:space="preserve">mpact resides with each individual Fund </w:t>
      </w:r>
      <w:r>
        <w:rPr>
          <w:rFonts w:ascii="Verdana" w:hAnsi="Verdana"/>
          <w:sz w:val="20"/>
          <w:szCs w:val="20"/>
        </w:rPr>
        <w:t>and is something which</w:t>
      </w:r>
      <w:r>
        <w:rPr>
          <w:rFonts w:ascii="Verdana" w:hAnsi="Verdana"/>
          <w:sz w:val="20"/>
          <w:szCs w:val="20"/>
        </w:rPr>
        <w:t xml:space="preserve"> </w:t>
      </w:r>
      <w:r>
        <w:rPr>
          <w:rFonts w:ascii="Verdana" w:hAnsi="Verdana"/>
          <w:sz w:val="20"/>
          <w:szCs w:val="20"/>
        </w:rPr>
        <w:t>will need</w:t>
      </w:r>
      <w:r>
        <w:rPr>
          <w:rFonts w:ascii="Verdana" w:hAnsi="Verdana"/>
          <w:sz w:val="20"/>
          <w:szCs w:val="20"/>
        </w:rPr>
        <w:t xml:space="preserve"> </w:t>
      </w:r>
      <w:r>
        <w:rPr>
          <w:rFonts w:ascii="Verdana" w:hAnsi="Verdana"/>
          <w:sz w:val="20"/>
          <w:szCs w:val="20"/>
        </w:rPr>
        <w:t xml:space="preserve">careful consideration </w:t>
      </w:r>
      <w:r>
        <w:rPr>
          <w:rFonts w:ascii="Verdana" w:hAnsi="Verdana"/>
          <w:sz w:val="20"/>
          <w:szCs w:val="20"/>
        </w:rPr>
        <w:t>within the context of pooling. There is</w:t>
      </w:r>
      <w:r>
        <w:rPr>
          <w:rFonts w:ascii="Verdana" w:hAnsi="Verdana"/>
          <w:sz w:val="20"/>
          <w:szCs w:val="20"/>
        </w:rPr>
        <w:t xml:space="preserve"> </w:t>
      </w:r>
      <w:r>
        <w:rPr>
          <w:rFonts w:ascii="Verdana" w:hAnsi="Verdana"/>
          <w:sz w:val="20"/>
          <w:szCs w:val="20"/>
        </w:rPr>
        <w:t>a</w:t>
      </w:r>
      <w:r>
        <w:rPr>
          <w:rFonts w:ascii="Verdana" w:hAnsi="Verdana"/>
          <w:sz w:val="20"/>
          <w:szCs w:val="20"/>
        </w:rPr>
        <w:t xml:space="preserve">n obvious conflict </w:t>
      </w:r>
      <w:r w:rsidRPr="009A40C9">
        <w:rPr>
          <w:rFonts w:ascii="Verdana" w:hAnsi="Verdana"/>
          <w:sz w:val="20"/>
          <w:szCs w:val="20"/>
        </w:rPr>
        <w:t xml:space="preserve">between </w:t>
      </w:r>
      <w:r>
        <w:rPr>
          <w:rFonts w:ascii="Verdana" w:hAnsi="Verdana"/>
          <w:sz w:val="20"/>
          <w:szCs w:val="20"/>
        </w:rPr>
        <w:t>an</w:t>
      </w:r>
      <w:r>
        <w:rPr>
          <w:rFonts w:ascii="Verdana" w:hAnsi="Verdana"/>
          <w:sz w:val="20"/>
          <w:szCs w:val="20"/>
        </w:rPr>
        <w:t xml:space="preserve"> </w:t>
      </w:r>
      <w:r>
        <w:rPr>
          <w:rFonts w:ascii="Verdana" w:hAnsi="Verdana"/>
          <w:sz w:val="20"/>
          <w:szCs w:val="20"/>
        </w:rPr>
        <w:t>imperative for</w:t>
      </w:r>
      <w:r>
        <w:rPr>
          <w:rFonts w:ascii="Verdana" w:hAnsi="Verdana"/>
          <w:sz w:val="20"/>
          <w:szCs w:val="20"/>
        </w:rPr>
        <w:t xml:space="preserve"> achieving </w:t>
      </w:r>
      <w:r w:rsidRPr="009A40C9">
        <w:rPr>
          <w:rFonts w:ascii="Verdana" w:hAnsi="Verdana"/>
          <w:sz w:val="20"/>
          <w:szCs w:val="20"/>
        </w:rPr>
        <w:t xml:space="preserve">cost savings which </w:t>
      </w:r>
      <w:r>
        <w:rPr>
          <w:rFonts w:ascii="Verdana" w:hAnsi="Verdana"/>
          <w:sz w:val="20"/>
          <w:szCs w:val="20"/>
        </w:rPr>
        <w:t xml:space="preserve">relies on </w:t>
      </w:r>
      <w:r>
        <w:rPr>
          <w:rFonts w:ascii="Verdana" w:hAnsi="Verdana"/>
          <w:sz w:val="20"/>
          <w:szCs w:val="20"/>
        </w:rPr>
        <w:t>in</w:t>
      </w:r>
      <w:r>
        <w:rPr>
          <w:rFonts w:ascii="Verdana" w:hAnsi="Verdana"/>
          <w:sz w:val="20"/>
          <w:szCs w:val="20"/>
        </w:rPr>
        <w:t xml:space="preserve">vestment </w:t>
      </w:r>
      <w:r>
        <w:rPr>
          <w:rFonts w:ascii="Verdana" w:hAnsi="Verdana"/>
          <w:sz w:val="20"/>
          <w:szCs w:val="20"/>
        </w:rPr>
        <w:t xml:space="preserve">arrangements </w:t>
      </w:r>
      <w:r>
        <w:rPr>
          <w:rFonts w:ascii="Verdana" w:hAnsi="Verdana"/>
          <w:sz w:val="20"/>
          <w:szCs w:val="20"/>
        </w:rPr>
        <w:t xml:space="preserve">which </w:t>
      </w:r>
      <w:r w:rsidRPr="009A40C9">
        <w:rPr>
          <w:rFonts w:ascii="Verdana" w:hAnsi="Verdana"/>
          <w:sz w:val="20"/>
          <w:szCs w:val="20"/>
        </w:rPr>
        <w:t>o</w:t>
      </w:r>
      <w:r>
        <w:rPr>
          <w:rFonts w:ascii="Verdana" w:hAnsi="Verdana"/>
          <w:sz w:val="20"/>
          <w:szCs w:val="20"/>
        </w:rPr>
        <w:t>perate at</w:t>
      </w:r>
      <w:r>
        <w:rPr>
          <w:rFonts w:ascii="Verdana" w:hAnsi="Verdana"/>
          <w:sz w:val="20"/>
          <w:szCs w:val="20"/>
        </w:rPr>
        <w:t xml:space="preserve"> a</w:t>
      </w:r>
      <w:r>
        <w:rPr>
          <w:rFonts w:ascii="Verdana" w:hAnsi="Verdana"/>
          <w:sz w:val="20"/>
          <w:szCs w:val="20"/>
        </w:rPr>
        <w:t xml:space="preserve"> pool </w:t>
      </w:r>
      <w:r w:rsidRPr="009A40C9">
        <w:rPr>
          <w:rFonts w:ascii="Verdana" w:hAnsi="Verdana"/>
          <w:sz w:val="20"/>
          <w:szCs w:val="20"/>
        </w:rPr>
        <w:t>level</w:t>
      </w:r>
      <w:r>
        <w:rPr>
          <w:rFonts w:ascii="Verdana" w:hAnsi="Verdana"/>
          <w:sz w:val="20"/>
          <w:szCs w:val="20"/>
        </w:rPr>
        <w:t xml:space="preserve"> and </w:t>
      </w:r>
      <w:r>
        <w:rPr>
          <w:rFonts w:ascii="Verdana" w:hAnsi="Verdana"/>
          <w:sz w:val="20"/>
          <w:szCs w:val="20"/>
        </w:rPr>
        <w:t>leverage</w:t>
      </w:r>
      <w:r>
        <w:rPr>
          <w:rFonts w:ascii="Verdana" w:hAnsi="Verdana"/>
          <w:sz w:val="20"/>
          <w:szCs w:val="20"/>
        </w:rPr>
        <w:t xml:space="preserve"> </w:t>
      </w:r>
      <w:r>
        <w:rPr>
          <w:rFonts w:ascii="Verdana" w:hAnsi="Verdana"/>
          <w:sz w:val="20"/>
          <w:szCs w:val="20"/>
        </w:rPr>
        <w:lastRenderedPageBreak/>
        <w:t>economies of scale</w:t>
      </w:r>
      <w:r>
        <w:rPr>
          <w:rFonts w:ascii="Verdana" w:hAnsi="Verdana"/>
          <w:sz w:val="20"/>
          <w:szCs w:val="20"/>
        </w:rPr>
        <w:t xml:space="preserve"> </w:t>
      </w:r>
      <w:r>
        <w:rPr>
          <w:rFonts w:ascii="Verdana" w:hAnsi="Verdana"/>
          <w:sz w:val="20"/>
          <w:szCs w:val="20"/>
        </w:rPr>
        <w:t xml:space="preserve">and </w:t>
      </w:r>
      <w:r>
        <w:rPr>
          <w:rFonts w:ascii="Verdana" w:hAnsi="Verdana"/>
          <w:sz w:val="20"/>
          <w:szCs w:val="20"/>
        </w:rPr>
        <w:t>the development of a demand</w:t>
      </w:r>
      <w:r>
        <w:rPr>
          <w:rFonts w:ascii="Verdana" w:hAnsi="Verdana"/>
          <w:sz w:val="20"/>
          <w:szCs w:val="20"/>
        </w:rPr>
        <w:t xml:space="preserve"> for investment </w:t>
      </w:r>
      <w:r>
        <w:rPr>
          <w:rFonts w:ascii="Verdana" w:hAnsi="Verdana"/>
          <w:sz w:val="20"/>
          <w:szCs w:val="20"/>
        </w:rPr>
        <w:t xml:space="preserve">arrangements </w:t>
      </w:r>
      <w:r>
        <w:rPr>
          <w:rFonts w:ascii="Verdana" w:hAnsi="Verdana"/>
          <w:sz w:val="20"/>
          <w:szCs w:val="20"/>
        </w:rPr>
        <w:t xml:space="preserve">which implement </w:t>
      </w:r>
      <w:r>
        <w:rPr>
          <w:rFonts w:ascii="Verdana" w:hAnsi="Verdana"/>
          <w:sz w:val="20"/>
          <w:szCs w:val="20"/>
        </w:rPr>
        <w:t xml:space="preserve">Fund-specific </w:t>
      </w:r>
      <w:r>
        <w:rPr>
          <w:rFonts w:ascii="Verdana" w:hAnsi="Verdana"/>
          <w:sz w:val="20"/>
          <w:szCs w:val="20"/>
        </w:rPr>
        <w:t>preference</w:t>
      </w:r>
      <w:r>
        <w:rPr>
          <w:rFonts w:ascii="Verdana" w:hAnsi="Verdana"/>
          <w:sz w:val="20"/>
          <w:szCs w:val="20"/>
        </w:rPr>
        <w:t>s</w:t>
      </w:r>
      <w:r>
        <w:rPr>
          <w:rFonts w:ascii="Verdana" w:hAnsi="Verdana"/>
          <w:sz w:val="20"/>
          <w:szCs w:val="20"/>
        </w:rPr>
        <w:t xml:space="preserve"> </w:t>
      </w:r>
      <w:r>
        <w:rPr>
          <w:rFonts w:ascii="Verdana" w:hAnsi="Verdana"/>
          <w:sz w:val="20"/>
          <w:szCs w:val="20"/>
        </w:rPr>
        <w:t>for social outcomes.</w:t>
      </w:r>
    </w:p>
    <w:p w:rsidR="00FE7C04" w:rsidRDefault="0070520C" w:rsidP="009A40C9">
      <w:pPr>
        <w:pStyle w:val="ListParagraph"/>
        <w:ind w:left="0"/>
        <w:rPr>
          <w:rFonts w:ascii="Verdana" w:hAnsi="Verdana"/>
          <w:sz w:val="20"/>
          <w:szCs w:val="20"/>
        </w:rPr>
      </w:pPr>
    </w:p>
    <w:p w:rsidR="006912F9" w:rsidRDefault="0070520C" w:rsidP="009A40C9">
      <w:pPr>
        <w:pStyle w:val="ListParagraph"/>
        <w:ind w:left="0"/>
        <w:rPr>
          <w:rFonts w:ascii="Verdana" w:hAnsi="Verdana"/>
          <w:sz w:val="20"/>
          <w:szCs w:val="20"/>
        </w:rPr>
      </w:pPr>
      <w:r>
        <w:rPr>
          <w:rFonts w:ascii="Verdana" w:hAnsi="Verdana"/>
          <w:sz w:val="20"/>
          <w:szCs w:val="20"/>
        </w:rPr>
        <w:t>A</w:t>
      </w:r>
      <w:r w:rsidRPr="006912F9">
        <w:rPr>
          <w:rFonts w:ascii="Verdana" w:hAnsi="Verdana"/>
          <w:sz w:val="20"/>
          <w:szCs w:val="20"/>
        </w:rPr>
        <w:t xml:space="preserve">ny requirement </w:t>
      </w:r>
      <w:r>
        <w:rPr>
          <w:rFonts w:ascii="Verdana" w:hAnsi="Verdana"/>
          <w:sz w:val="20"/>
          <w:szCs w:val="20"/>
        </w:rPr>
        <w:t>for</w:t>
      </w:r>
      <w:r w:rsidRPr="006912F9">
        <w:rPr>
          <w:rFonts w:ascii="Verdana" w:hAnsi="Verdana"/>
          <w:sz w:val="20"/>
          <w:szCs w:val="20"/>
        </w:rPr>
        <w:t xml:space="preserve"> </w:t>
      </w:r>
      <w:r>
        <w:rPr>
          <w:rFonts w:ascii="Verdana" w:hAnsi="Verdana"/>
          <w:sz w:val="20"/>
          <w:szCs w:val="20"/>
        </w:rPr>
        <w:t xml:space="preserve">investment arrangements which restrict the investment universe in order to achieve </w:t>
      </w:r>
      <w:r>
        <w:rPr>
          <w:rFonts w:ascii="Verdana" w:hAnsi="Verdana"/>
          <w:sz w:val="20"/>
          <w:szCs w:val="20"/>
        </w:rPr>
        <w:t xml:space="preserve">a defined </w:t>
      </w:r>
      <w:r>
        <w:rPr>
          <w:rFonts w:ascii="Verdana" w:hAnsi="Verdana"/>
          <w:sz w:val="20"/>
          <w:szCs w:val="20"/>
        </w:rPr>
        <w:t xml:space="preserve">social impact </w:t>
      </w:r>
      <w:r>
        <w:rPr>
          <w:rFonts w:ascii="Verdana" w:hAnsi="Verdana"/>
          <w:sz w:val="20"/>
          <w:szCs w:val="20"/>
        </w:rPr>
        <w:t>will add</w:t>
      </w:r>
      <w:r w:rsidRPr="006912F9">
        <w:rPr>
          <w:rFonts w:ascii="Verdana" w:hAnsi="Verdana"/>
          <w:sz w:val="20"/>
          <w:szCs w:val="20"/>
        </w:rPr>
        <w:t xml:space="preserve"> cost for all </w:t>
      </w:r>
      <w:r>
        <w:rPr>
          <w:rFonts w:ascii="Verdana" w:hAnsi="Verdana"/>
          <w:sz w:val="20"/>
          <w:szCs w:val="20"/>
        </w:rPr>
        <w:t>Funds participating</w:t>
      </w:r>
      <w:r w:rsidRPr="006912F9">
        <w:rPr>
          <w:rFonts w:ascii="Verdana" w:hAnsi="Verdana"/>
          <w:sz w:val="20"/>
          <w:szCs w:val="20"/>
        </w:rPr>
        <w:t xml:space="preserve"> </w:t>
      </w:r>
      <w:r>
        <w:rPr>
          <w:rFonts w:ascii="Verdana" w:hAnsi="Verdana"/>
          <w:sz w:val="20"/>
          <w:szCs w:val="20"/>
        </w:rPr>
        <w:t xml:space="preserve">in a pool </w:t>
      </w:r>
      <w:r w:rsidRPr="006912F9">
        <w:rPr>
          <w:rFonts w:ascii="Verdana" w:hAnsi="Verdana"/>
          <w:sz w:val="20"/>
          <w:szCs w:val="20"/>
        </w:rPr>
        <w:t xml:space="preserve">because </w:t>
      </w:r>
      <w:r>
        <w:rPr>
          <w:rFonts w:ascii="Verdana" w:hAnsi="Verdana"/>
          <w:sz w:val="20"/>
          <w:szCs w:val="20"/>
        </w:rPr>
        <w:t>they</w:t>
      </w:r>
      <w:r w:rsidRPr="006912F9">
        <w:rPr>
          <w:rFonts w:ascii="Verdana" w:hAnsi="Verdana"/>
          <w:sz w:val="20"/>
          <w:szCs w:val="20"/>
        </w:rPr>
        <w:t xml:space="preserve"> </w:t>
      </w:r>
      <w:r>
        <w:rPr>
          <w:rFonts w:ascii="Verdana" w:hAnsi="Verdana"/>
          <w:sz w:val="20"/>
          <w:szCs w:val="20"/>
        </w:rPr>
        <w:t>will require</w:t>
      </w:r>
      <w:r w:rsidRPr="006912F9">
        <w:rPr>
          <w:rFonts w:ascii="Verdana" w:hAnsi="Verdana"/>
          <w:sz w:val="20"/>
          <w:szCs w:val="20"/>
        </w:rPr>
        <w:t xml:space="preserve"> assets to be disaggregat</w:t>
      </w:r>
      <w:r w:rsidRPr="006912F9">
        <w:rPr>
          <w:rFonts w:ascii="Verdana" w:hAnsi="Verdana"/>
          <w:sz w:val="20"/>
          <w:szCs w:val="20"/>
        </w:rPr>
        <w:t>ed</w:t>
      </w:r>
      <w:r w:rsidRPr="006912F9">
        <w:rPr>
          <w:rFonts w:ascii="Verdana" w:hAnsi="Verdana"/>
          <w:sz w:val="20"/>
          <w:szCs w:val="20"/>
        </w:rPr>
        <w:t xml:space="preserve"> in order to apply specific products.  Thi</w:t>
      </w:r>
      <w:r>
        <w:rPr>
          <w:rFonts w:ascii="Verdana" w:hAnsi="Verdana"/>
          <w:sz w:val="20"/>
          <w:szCs w:val="20"/>
        </w:rPr>
        <w:t>s w</w:t>
      </w:r>
      <w:r>
        <w:rPr>
          <w:rFonts w:ascii="Verdana" w:hAnsi="Verdana"/>
          <w:sz w:val="20"/>
          <w:szCs w:val="20"/>
        </w:rPr>
        <w:t>ill immediately lose the benefit</w:t>
      </w:r>
      <w:r w:rsidRPr="006912F9">
        <w:rPr>
          <w:rFonts w:ascii="Verdana" w:hAnsi="Verdana"/>
          <w:sz w:val="20"/>
          <w:szCs w:val="20"/>
        </w:rPr>
        <w:t xml:space="preserve"> of scale </w:t>
      </w:r>
      <w:r>
        <w:rPr>
          <w:rFonts w:ascii="Verdana" w:hAnsi="Verdana"/>
          <w:sz w:val="20"/>
          <w:szCs w:val="20"/>
        </w:rPr>
        <w:t>that</w:t>
      </w:r>
      <w:r w:rsidRPr="006912F9">
        <w:rPr>
          <w:rFonts w:ascii="Verdana" w:hAnsi="Verdana"/>
          <w:sz w:val="20"/>
          <w:szCs w:val="20"/>
        </w:rPr>
        <w:t xml:space="preserve"> pooling </w:t>
      </w:r>
      <w:r>
        <w:rPr>
          <w:rFonts w:ascii="Verdana" w:hAnsi="Verdana"/>
          <w:sz w:val="20"/>
          <w:szCs w:val="20"/>
        </w:rPr>
        <w:t xml:space="preserve">ultimately </w:t>
      </w:r>
      <w:r w:rsidRPr="006912F9">
        <w:rPr>
          <w:rFonts w:ascii="Verdana" w:hAnsi="Verdana"/>
          <w:sz w:val="20"/>
          <w:szCs w:val="20"/>
        </w:rPr>
        <w:t xml:space="preserve">aims for. </w:t>
      </w:r>
    </w:p>
    <w:p w:rsidR="006912F9" w:rsidRDefault="0070520C" w:rsidP="009A40C9">
      <w:pPr>
        <w:pStyle w:val="ListParagraph"/>
        <w:ind w:left="0"/>
        <w:rPr>
          <w:rFonts w:ascii="Verdana" w:hAnsi="Verdana"/>
          <w:sz w:val="20"/>
          <w:szCs w:val="20"/>
        </w:rPr>
      </w:pPr>
    </w:p>
    <w:p w:rsidR="00120B7D" w:rsidRDefault="0070520C" w:rsidP="009A40C9">
      <w:pPr>
        <w:pStyle w:val="ListParagraph"/>
        <w:ind w:left="0"/>
        <w:rPr>
          <w:rFonts w:ascii="Verdana" w:hAnsi="Verdana"/>
          <w:sz w:val="20"/>
          <w:szCs w:val="20"/>
        </w:rPr>
      </w:pPr>
      <w:r>
        <w:rPr>
          <w:rFonts w:ascii="Verdana" w:hAnsi="Verdana"/>
          <w:sz w:val="20"/>
          <w:szCs w:val="20"/>
        </w:rPr>
        <w:t xml:space="preserve">The Committee </w:t>
      </w:r>
      <w:r>
        <w:rPr>
          <w:rFonts w:ascii="Verdana" w:hAnsi="Verdana"/>
          <w:sz w:val="20"/>
          <w:szCs w:val="20"/>
        </w:rPr>
        <w:t xml:space="preserve">will need to consider </w:t>
      </w:r>
      <w:r>
        <w:rPr>
          <w:rFonts w:ascii="Verdana" w:hAnsi="Verdana"/>
          <w:sz w:val="20"/>
          <w:szCs w:val="20"/>
        </w:rPr>
        <w:t>whether the power to pursue social impact</w:t>
      </w:r>
      <w:r>
        <w:rPr>
          <w:rFonts w:ascii="Verdana" w:hAnsi="Verdana"/>
          <w:sz w:val="20"/>
          <w:szCs w:val="20"/>
        </w:rPr>
        <w:t>s</w:t>
      </w:r>
      <w:r>
        <w:rPr>
          <w:rFonts w:ascii="Verdana" w:hAnsi="Verdana"/>
          <w:sz w:val="20"/>
          <w:szCs w:val="20"/>
        </w:rPr>
        <w:t xml:space="preserve"> </w:t>
      </w:r>
      <w:r>
        <w:rPr>
          <w:rFonts w:ascii="Verdana" w:hAnsi="Verdana"/>
          <w:sz w:val="20"/>
          <w:szCs w:val="20"/>
        </w:rPr>
        <w:t xml:space="preserve">is something it wishes to </w:t>
      </w:r>
      <w:r>
        <w:rPr>
          <w:rFonts w:ascii="Verdana" w:hAnsi="Verdana"/>
          <w:sz w:val="20"/>
          <w:szCs w:val="20"/>
        </w:rPr>
        <w:t>utilise</w:t>
      </w:r>
      <w:r>
        <w:rPr>
          <w:rFonts w:ascii="Verdana" w:hAnsi="Verdana"/>
          <w:sz w:val="20"/>
          <w:szCs w:val="20"/>
        </w:rPr>
        <w:t>. T</w:t>
      </w:r>
      <w:r>
        <w:rPr>
          <w:rFonts w:ascii="Verdana" w:hAnsi="Verdana"/>
          <w:sz w:val="20"/>
          <w:szCs w:val="20"/>
        </w:rPr>
        <w:t xml:space="preserve">his is </w:t>
      </w:r>
      <w:r>
        <w:rPr>
          <w:rFonts w:ascii="Verdana" w:hAnsi="Verdana"/>
          <w:sz w:val="20"/>
          <w:szCs w:val="20"/>
        </w:rPr>
        <w:t xml:space="preserve">a consideration </w:t>
      </w:r>
      <w:r>
        <w:rPr>
          <w:rFonts w:ascii="Verdana" w:hAnsi="Verdana"/>
          <w:sz w:val="20"/>
          <w:szCs w:val="20"/>
        </w:rPr>
        <w:t xml:space="preserve">which would </w:t>
      </w:r>
      <w:r>
        <w:rPr>
          <w:rFonts w:ascii="Verdana" w:hAnsi="Verdana"/>
          <w:sz w:val="20"/>
          <w:szCs w:val="20"/>
        </w:rPr>
        <w:t xml:space="preserve">likely </w:t>
      </w:r>
      <w:r>
        <w:rPr>
          <w:rFonts w:ascii="Verdana" w:hAnsi="Verdana"/>
          <w:sz w:val="20"/>
          <w:szCs w:val="20"/>
        </w:rPr>
        <w:t>benefit from</w:t>
      </w:r>
      <w:r>
        <w:rPr>
          <w:rFonts w:ascii="Verdana" w:hAnsi="Verdana"/>
          <w:sz w:val="20"/>
          <w:szCs w:val="20"/>
        </w:rPr>
        <w:t xml:space="preserve"> discussion </w:t>
      </w:r>
      <w:r>
        <w:rPr>
          <w:rFonts w:ascii="Verdana" w:hAnsi="Verdana"/>
          <w:sz w:val="20"/>
          <w:szCs w:val="20"/>
        </w:rPr>
        <w:t>with</w:t>
      </w:r>
      <w:r>
        <w:rPr>
          <w:rFonts w:ascii="Verdana" w:hAnsi="Verdana"/>
          <w:sz w:val="20"/>
          <w:szCs w:val="20"/>
        </w:rPr>
        <w:t xml:space="preserve"> pooling partners </w:t>
      </w:r>
      <w:r>
        <w:rPr>
          <w:rFonts w:ascii="Verdana" w:hAnsi="Verdana"/>
          <w:sz w:val="20"/>
          <w:szCs w:val="20"/>
        </w:rPr>
        <w:t xml:space="preserve">as part of </w:t>
      </w:r>
      <w:r>
        <w:rPr>
          <w:rFonts w:ascii="Verdana" w:hAnsi="Verdana"/>
          <w:sz w:val="20"/>
          <w:szCs w:val="20"/>
        </w:rPr>
        <w:t>seeking to agree</w:t>
      </w:r>
      <w:r>
        <w:rPr>
          <w:rFonts w:ascii="Verdana" w:hAnsi="Verdana"/>
          <w:sz w:val="20"/>
          <w:szCs w:val="20"/>
        </w:rPr>
        <w:t xml:space="preserve"> </w:t>
      </w:r>
      <w:r>
        <w:rPr>
          <w:rFonts w:ascii="Verdana" w:hAnsi="Verdana"/>
          <w:sz w:val="20"/>
          <w:szCs w:val="20"/>
        </w:rPr>
        <w:t>a collegiate approach</w:t>
      </w:r>
      <w:r>
        <w:rPr>
          <w:rFonts w:ascii="Verdana" w:hAnsi="Verdana"/>
          <w:sz w:val="20"/>
          <w:szCs w:val="20"/>
        </w:rPr>
        <w:t xml:space="preserve">. </w:t>
      </w:r>
      <w:r>
        <w:rPr>
          <w:rFonts w:ascii="Verdana" w:hAnsi="Verdana"/>
          <w:sz w:val="20"/>
          <w:szCs w:val="20"/>
        </w:rPr>
        <w:t>The best</w:t>
      </w:r>
      <w:r>
        <w:rPr>
          <w:rFonts w:ascii="Verdana" w:hAnsi="Verdana"/>
          <w:sz w:val="20"/>
          <w:szCs w:val="20"/>
        </w:rPr>
        <w:t xml:space="preserve"> starting point </w:t>
      </w:r>
      <w:r>
        <w:rPr>
          <w:rFonts w:ascii="Verdana" w:hAnsi="Verdana"/>
          <w:sz w:val="20"/>
          <w:szCs w:val="20"/>
        </w:rPr>
        <w:t xml:space="preserve">may be </w:t>
      </w:r>
      <w:r>
        <w:rPr>
          <w:rFonts w:ascii="Verdana" w:hAnsi="Verdana"/>
          <w:sz w:val="20"/>
          <w:szCs w:val="20"/>
        </w:rPr>
        <w:t>to</w:t>
      </w:r>
      <w:r>
        <w:rPr>
          <w:rFonts w:ascii="Verdana" w:hAnsi="Verdana"/>
          <w:sz w:val="20"/>
          <w:szCs w:val="20"/>
        </w:rPr>
        <w:t xml:space="preserve"> </w:t>
      </w:r>
      <w:r>
        <w:rPr>
          <w:rFonts w:ascii="Verdana" w:hAnsi="Verdana"/>
          <w:sz w:val="20"/>
          <w:szCs w:val="20"/>
        </w:rPr>
        <w:t>identify</w:t>
      </w:r>
      <w:r>
        <w:rPr>
          <w:rFonts w:ascii="Verdana" w:hAnsi="Verdana"/>
          <w:sz w:val="20"/>
          <w:szCs w:val="20"/>
        </w:rPr>
        <w:t xml:space="preserve"> </w:t>
      </w:r>
      <w:r>
        <w:rPr>
          <w:rFonts w:ascii="Verdana" w:hAnsi="Verdana"/>
          <w:sz w:val="20"/>
          <w:szCs w:val="20"/>
        </w:rPr>
        <w:t xml:space="preserve">any </w:t>
      </w:r>
      <w:r>
        <w:rPr>
          <w:rFonts w:ascii="Verdana" w:hAnsi="Verdana"/>
          <w:sz w:val="20"/>
          <w:szCs w:val="20"/>
        </w:rPr>
        <w:t xml:space="preserve">outcomes </w:t>
      </w:r>
      <w:r>
        <w:rPr>
          <w:rFonts w:ascii="Verdana" w:hAnsi="Verdana"/>
          <w:sz w:val="20"/>
          <w:szCs w:val="20"/>
        </w:rPr>
        <w:t xml:space="preserve">of importance to the Committee (and likely to be shared by </w:t>
      </w:r>
      <w:r>
        <w:rPr>
          <w:rFonts w:ascii="Verdana" w:hAnsi="Verdana"/>
          <w:sz w:val="20"/>
          <w:szCs w:val="20"/>
        </w:rPr>
        <w:t xml:space="preserve">Fund </w:t>
      </w:r>
      <w:r>
        <w:rPr>
          <w:rFonts w:ascii="Verdana" w:hAnsi="Verdana"/>
          <w:sz w:val="20"/>
          <w:szCs w:val="20"/>
        </w:rPr>
        <w:t xml:space="preserve">beneficiaries) </w:t>
      </w:r>
      <w:r>
        <w:rPr>
          <w:rFonts w:ascii="Verdana" w:hAnsi="Verdana"/>
          <w:sz w:val="20"/>
          <w:szCs w:val="20"/>
        </w:rPr>
        <w:t xml:space="preserve">which </w:t>
      </w:r>
      <w:r>
        <w:rPr>
          <w:rFonts w:ascii="Verdana" w:hAnsi="Verdana"/>
          <w:sz w:val="20"/>
          <w:szCs w:val="20"/>
        </w:rPr>
        <w:t xml:space="preserve">will not be </w:t>
      </w:r>
      <w:r>
        <w:rPr>
          <w:rFonts w:ascii="Verdana" w:hAnsi="Verdana"/>
          <w:sz w:val="20"/>
          <w:szCs w:val="20"/>
        </w:rPr>
        <w:t xml:space="preserve">met </w:t>
      </w:r>
      <w:r>
        <w:rPr>
          <w:rFonts w:ascii="Verdana" w:hAnsi="Verdana"/>
          <w:sz w:val="20"/>
          <w:szCs w:val="20"/>
        </w:rPr>
        <w:t>via</w:t>
      </w:r>
      <w:r>
        <w:rPr>
          <w:rFonts w:ascii="Verdana" w:hAnsi="Verdana"/>
          <w:sz w:val="20"/>
          <w:szCs w:val="20"/>
        </w:rPr>
        <w:t xml:space="preserve"> </w:t>
      </w:r>
      <w:r>
        <w:rPr>
          <w:rFonts w:ascii="Verdana" w:hAnsi="Verdana"/>
          <w:sz w:val="20"/>
          <w:szCs w:val="20"/>
        </w:rPr>
        <w:t xml:space="preserve">the </w:t>
      </w:r>
      <w:r>
        <w:rPr>
          <w:rFonts w:ascii="Verdana" w:hAnsi="Verdana"/>
          <w:sz w:val="20"/>
          <w:szCs w:val="20"/>
        </w:rPr>
        <w:t>invest</w:t>
      </w:r>
      <w:r>
        <w:rPr>
          <w:rFonts w:ascii="Verdana" w:hAnsi="Verdana"/>
          <w:sz w:val="20"/>
          <w:szCs w:val="20"/>
        </w:rPr>
        <w:t xml:space="preserve">ment </w:t>
      </w:r>
      <w:r>
        <w:rPr>
          <w:rFonts w:ascii="Verdana" w:hAnsi="Verdana"/>
          <w:sz w:val="20"/>
          <w:szCs w:val="20"/>
        </w:rPr>
        <w:t xml:space="preserve">arrangements </w:t>
      </w:r>
      <w:r>
        <w:rPr>
          <w:rFonts w:ascii="Verdana" w:hAnsi="Verdana"/>
          <w:sz w:val="20"/>
          <w:szCs w:val="20"/>
        </w:rPr>
        <w:t xml:space="preserve">and approach </w:t>
      </w:r>
      <w:r>
        <w:rPr>
          <w:rFonts w:ascii="Verdana" w:hAnsi="Verdana"/>
          <w:sz w:val="20"/>
          <w:szCs w:val="20"/>
        </w:rPr>
        <w:t>in place by</w:t>
      </w:r>
      <w:r>
        <w:rPr>
          <w:rFonts w:ascii="Verdana" w:hAnsi="Verdana"/>
          <w:sz w:val="20"/>
          <w:szCs w:val="20"/>
        </w:rPr>
        <w:t xml:space="preserve"> </w:t>
      </w:r>
      <w:r>
        <w:rPr>
          <w:rFonts w:ascii="Verdana" w:hAnsi="Verdana"/>
          <w:sz w:val="20"/>
          <w:szCs w:val="20"/>
        </w:rPr>
        <w:t>LPP I.</w:t>
      </w:r>
      <w:r>
        <w:rPr>
          <w:rFonts w:ascii="Verdana" w:hAnsi="Verdana"/>
          <w:sz w:val="20"/>
          <w:szCs w:val="20"/>
        </w:rPr>
        <w:t xml:space="preserve">  T</w:t>
      </w:r>
      <w:r>
        <w:rPr>
          <w:rFonts w:ascii="Verdana" w:hAnsi="Verdana"/>
          <w:sz w:val="20"/>
          <w:szCs w:val="20"/>
        </w:rPr>
        <w:t xml:space="preserve">he Committee's </w:t>
      </w:r>
      <w:r>
        <w:rPr>
          <w:rFonts w:ascii="Verdana" w:hAnsi="Verdana"/>
          <w:sz w:val="20"/>
          <w:szCs w:val="20"/>
        </w:rPr>
        <w:t xml:space="preserve">efforts </w:t>
      </w:r>
      <w:r>
        <w:rPr>
          <w:rFonts w:ascii="Verdana" w:hAnsi="Verdana"/>
          <w:sz w:val="20"/>
          <w:szCs w:val="20"/>
        </w:rPr>
        <w:t>will</w:t>
      </w:r>
      <w:r>
        <w:rPr>
          <w:rFonts w:ascii="Verdana" w:hAnsi="Verdana"/>
          <w:sz w:val="20"/>
          <w:szCs w:val="20"/>
        </w:rPr>
        <w:t xml:space="preserve"> be assisted by</w:t>
      </w:r>
      <w:r>
        <w:rPr>
          <w:rFonts w:ascii="Verdana" w:hAnsi="Verdana"/>
          <w:sz w:val="20"/>
          <w:szCs w:val="20"/>
        </w:rPr>
        <w:t xml:space="preserve"> reviewing</w:t>
      </w:r>
      <w:r>
        <w:rPr>
          <w:rFonts w:ascii="Verdana" w:hAnsi="Verdana"/>
          <w:sz w:val="20"/>
          <w:szCs w:val="20"/>
        </w:rPr>
        <w:t xml:space="preserve"> the LPP I Responsible Investment Policy which explains </w:t>
      </w:r>
      <w:r>
        <w:rPr>
          <w:rFonts w:ascii="Verdana" w:hAnsi="Verdana"/>
          <w:sz w:val="20"/>
          <w:szCs w:val="20"/>
        </w:rPr>
        <w:t>the</w:t>
      </w:r>
      <w:r>
        <w:rPr>
          <w:rFonts w:ascii="Verdana" w:hAnsi="Verdana"/>
          <w:sz w:val="20"/>
          <w:szCs w:val="20"/>
        </w:rPr>
        <w:t xml:space="preserve"> </w:t>
      </w:r>
      <w:r>
        <w:rPr>
          <w:rFonts w:ascii="Verdana" w:hAnsi="Verdana"/>
          <w:sz w:val="20"/>
          <w:szCs w:val="20"/>
        </w:rPr>
        <w:t xml:space="preserve">arrangements </w:t>
      </w:r>
      <w:r>
        <w:rPr>
          <w:rFonts w:ascii="Verdana" w:hAnsi="Verdana"/>
          <w:sz w:val="20"/>
          <w:szCs w:val="20"/>
        </w:rPr>
        <w:t xml:space="preserve">in place to deliver against commitments under </w:t>
      </w:r>
      <w:r>
        <w:rPr>
          <w:rFonts w:ascii="Verdana" w:hAnsi="Verdana"/>
          <w:sz w:val="20"/>
          <w:szCs w:val="20"/>
        </w:rPr>
        <w:t xml:space="preserve">the Principles of Responsible </w:t>
      </w:r>
      <w:r>
        <w:rPr>
          <w:rFonts w:ascii="Verdana" w:hAnsi="Verdana"/>
          <w:sz w:val="20"/>
          <w:szCs w:val="20"/>
        </w:rPr>
        <w:t>Investment and the UK Stewardship Code.</w:t>
      </w:r>
    </w:p>
    <w:p w:rsidR="00911FF3" w:rsidRDefault="0070520C" w:rsidP="00A54961">
      <w:pPr>
        <w:pStyle w:val="Default"/>
        <w:numPr>
          <w:ilvl w:val="0"/>
          <w:numId w:val="9"/>
        </w:numPr>
        <w:ind w:left="0" w:firstLine="0"/>
        <w:rPr>
          <w:rFonts w:ascii="Verdana" w:hAnsi="Verdana"/>
          <w:iCs/>
          <w:sz w:val="20"/>
          <w:szCs w:val="20"/>
        </w:rPr>
      </w:pPr>
      <w:r w:rsidRPr="00F23661">
        <w:rPr>
          <w:rFonts w:ascii="Verdana" w:hAnsi="Verdana"/>
          <w:iCs/>
          <w:sz w:val="20"/>
          <w:szCs w:val="20"/>
        </w:rPr>
        <w:t>LPP I Responsible Investment Policy</w:t>
      </w:r>
    </w:p>
    <w:p w:rsidR="00A54961" w:rsidRDefault="0070520C" w:rsidP="00A54961">
      <w:pPr>
        <w:shd w:val="clear" w:color="auto" w:fill="FFFFFF"/>
        <w:spacing w:after="0"/>
        <w:rPr>
          <w:rFonts w:ascii="Verdana" w:hAnsi="Verdana" w:cs="Arial"/>
          <w:sz w:val="20"/>
          <w:szCs w:val="20"/>
          <w:lang w:eastAsia="en-GB"/>
        </w:rPr>
      </w:pPr>
    </w:p>
    <w:p w:rsidR="00A54961" w:rsidRPr="00A54961" w:rsidRDefault="0070520C" w:rsidP="00A54961">
      <w:pPr>
        <w:shd w:val="clear" w:color="auto" w:fill="FFFFFF"/>
        <w:spacing w:after="0"/>
        <w:rPr>
          <w:rFonts w:ascii="Verdana" w:hAnsi="Verdana" w:cs="Arial"/>
          <w:sz w:val="20"/>
          <w:szCs w:val="20"/>
          <w:lang w:eastAsia="en-GB"/>
        </w:rPr>
      </w:pPr>
      <w:r w:rsidRPr="00A54961">
        <w:rPr>
          <w:rFonts w:ascii="Verdana" w:hAnsi="Verdana" w:cs="Arial"/>
          <w:sz w:val="20"/>
          <w:szCs w:val="20"/>
          <w:lang w:eastAsia="en-GB"/>
        </w:rPr>
        <w:t xml:space="preserve">An RI Policy has been developed </w:t>
      </w:r>
      <w:r>
        <w:rPr>
          <w:rFonts w:ascii="Verdana" w:hAnsi="Verdana" w:cs="Arial"/>
          <w:sz w:val="20"/>
          <w:szCs w:val="20"/>
          <w:lang w:eastAsia="en-GB"/>
        </w:rPr>
        <w:t xml:space="preserve">and approved by the LPP I Board </w:t>
      </w:r>
      <w:r>
        <w:rPr>
          <w:rFonts w:ascii="Verdana" w:hAnsi="Verdana" w:cs="Arial"/>
          <w:sz w:val="20"/>
          <w:szCs w:val="20"/>
          <w:lang w:eastAsia="en-GB"/>
        </w:rPr>
        <w:t>which</w:t>
      </w:r>
      <w:r w:rsidRPr="00A54961">
        <w:rPr>
          <w:rFonts w:ascii="Verdana" w:hAnsi="Verdana" w:cs="Arial"/>
          <w:sz w:val="20"/>
          <w:szCs w:val="20"/>
        </w:rPr>
        <w:t xml:space="preserve"> </w:t>
      </w:r>
      <w:r>
        <w:rPr>
          <w:rFonts w:ascii="Verdana" w:hAnsi="Verdana" w:cs="Arial"/>
          <w:sz w:val="20"/>
          <w:szCs w:val="20"/>
        </w:rPr>
        <w:t>explains</w:t>
      </w:r>
      <w:r w:rsidRPr="00A54961">
        <w:rPr>
          <w:rFonts w:ascii="Verdana" w:hAnsi="Verdana" w:cs="Arial"/>
          <w:sz w:val="20"/>
          <w:szCs w:val="20"/>
        </w:rPr>
        <w:t xml:space="preserve"> the key beliefs </w:t>
      </w:r>
      <w:r>
        <w:rPr>
          <w:rFonts w:ascii="Verdana" w:hAnsi="Verdana" w:cs="Arial"/>
          <w:sz w:val="20"/>
          <w:szCs w:val="20"/>
        </w:rPr>
        <w:t>informing</w:t>
      </w:r>
      <w:r w:rsidRPr="00A54961">
        <w:rPr>
          <w:rFonts w:ascii="Verdana" w:hAnsi="Verdana" w:cs="Arial"/>
          <w:sz w:val="20"/>
          <w:szCs w:val="20"/>
        </w:rPr>
        <w:t xml:space="preserve"> LPP I's stewardship practices</w:t>
      </w:r>
      <w:r>
        <w:rPr>
          <w:rFonts w:ascii="Verdana" w:hAnsi="Verdana" w:cs="Arial"/>
          <w:sz w:val="20"/>
          <w:szCs w:val="20"/>
        </w:rPr>
        <w:t>.</w:t>
      </w:r>
      <w:r>
        <w:rPr>
          <w:rFonts w:ascii="Verdana" w:hAnsi="Verdana" w:cs="Arial"/>
          <w:sz w:val="20"/>
          <w:szCs w:val="20"/>
        </w:rPr>
        <w:t xml:space="preserve"> The Policy </w:t>
      </w:r>
      <w:r>
        <w:rPr>
          <w:rFonts w:ascii="Verdana" w:hAnsi="Verdana" w:cs="Arial"/>
          <w:sz w:val="20"/>
          <w:szCs w:val="20"/>
        </w:rPr>
        <w:t>gives</w:t>
      </w:r>
      <w:r w:rsidRPr="00A54961">
        <w:rPr>
          <w:rFonts w:ascii="Verdana" w:hAnsi="Verdana" w:cs="Arial"/>
          <w:sz w:val="20"/>
          <w:szCs w:val="20"/>
        </w:rPr>
        <w:t xml:space="preserve"> insight into the standards of stewardship clients can expect</w:t>
      </w:r>
      <w:r>
        <w:rPr>
          <w:rFonts w:ascii="Verdana" w:hAnsi="Verdana" w:cs="Arial"/>
          <w:sz w:val="20"/>
          <w:szCs w:val="20"/>
        </w:rPr>
        <w:t xml:space="preserve"> </w:t>
      </w:r>
      <w:r>
        <w:rPr>
          <w:rFonts w:ascii="Verdana" w:hAnsi="Verdana" w:cs="Arial"/>
          <w:sz w:val="20"/>
          <w:szCs w:val="20"/>
        </w:rPr>
        <w:t xml:space="preserve">from LPP I </w:t>
      </w:r>
      <w:r>
        <w:rPr>
          <w:rFonts w:ascii="Verdana" w:hAnsi="Verdana" w:cs="Arial"/>
          <w:sz w:val="20"/>
          <w:szCs w:val="20"/>
        </w:rPr>
        <w:t xml:space="preserve">and </w:t>
      </w:r>
      <w:r w:rsidRPr="00A54961">
        <w:rPr>
          <w:rFonts w:ascii="Verdana" w:hAnsi="Verdana" w:cs="Arial"/>
          <w:sz w:val="20"/>
          <w:szCs w:val="20"/>
        </w:rPr>
        <w:t xml:space="preserve">explains how fiduciary responsibilities are being addressed within the services provided. </w:t>
      </w:r>
      <w:r>
        <w:rPr>
          <w:rFonts w:ascii="Verdana" w:hAnsi="Verdana" w:cs="Arial"/>
          <w:sz w:val="20"/>
          <w:szCs w:val="20"/>
        </w:rPr>
        <w:t>The Policy is attached at Appendix</w:t>
      </w:r>
      <w:r>
        <w:rPr>
          <w:rFonts w:ascii="Verdana" w:hAnsi="Verdana" w:cs="Arial"/>
          <w:sz w:val="20"/>
          <w:szCs w:val="20"/>
        </w:rPr>
        <w:t xml:space="preserve"> 3</w:t>
      </w:r>
      <w:r>
        <w:rPr>
          <w:rFonts w:ascii="Verdana" w:hAnsi="Verdana" w:cs="Arial"/>
          <w:sz w:val="20"/>
          <w:szCs w:val="20"/>
        </w:rPr>
        <w:t xml:space="preserve">.  </w:t>
      </w:r>
    </w:p>
    <w:p w:rsidR="00A54961" w:rsidRPr="00A54961" w:rsidRDefault="0070520C" w:rsidP="00A54961">
      <w:pPr>
        <w:pStyle w:val="ListParagraph"/>
        <w:tabs>
          <w:tab w:val="right" w:pos="-3261"/>
        </w:tabs>
        <w:spacing w:after="0"/>
        <w:ind w:left="0"/>
        <w:jc w:val="both"/>
        <w:rPr>
          <w:rFonts w:ascii="Verdana" w:hAnsi="Verdana" w:cs="Arial"/>
          <w:sz w:val="20"/>
          <w:szCs w:val="20"/>
        </w:rPr>
      </w:pPr>
    </w:p>
    <w:p w:rsidR="00A54961" w:rsidRPr="00A54961" w:rsidRDefault="0070520C" w:rsidP="00A54961">
      <w:pPr>
        <w:pStyle w:val="ListParagraph"/>
        <w:tabs>
          <w:tab w:val="right" w:pos="-3261"/>
        </w:tabs>
        <w:spacing w:after="0"/>
        <w:ind w:left="0"/>
        <w:jc w:val="both"/>
        <w:rPr>
          <w:rFonts w:ascii="Verdana" w:hAnsi="Verdana" w:cs="Arial"/>
          <w:sz w:val="20"/>
          <w:szCs w:val="20"/>
          <w:lang w:eastAsia="en-GB"/>
        </w:rPr>
      </w:pPr>
      <w:r>
        <w:rPr>
          <w:rFonts w:ascii="Verdana" w:hAnsi="Verdana" w:cs="Arial"/>
          <w:sz w:val="20"/>
          <w:szCs w:val="20"/>
        </w:rPr>
        <w:t xml:space="preserve">The </w:t>
      </w:r>
      <w:r>
        <w:rPr>
          <w:rFonts w:ascii="Verdana" w:hAnsi="Verdana" w:cs="Arial"/>
          <w:sz w:val="20"/>
          <w:szCs w:val="20"/>
        </w:rPr>
        <w:t xml:space="preserve">LPPI RI </w:t>
      </w:r>
      <w:r>
        <w:rPr>
          <w:rFonts w:ascii="Verdana" w:hAnsi="Verdana" w:cs="Arial"/>
          <w:sz w:val="20"/>
          <w:szCs w:val="20"/>
        </w:rPr>
        <w:t xml:space="preserve">Policy </w:t>
      </w:r>
      <w:r w:rsidRPr="00A54961">
        <w:rPr>
          <w:rFonts w:ascii="Verdana" w:hAnsi="Verdana" w:cs="Arial"/>
          <w:sz w:val="20"/>
          <w:szCs w:val="20"/>
        </w:rPr>
        <w:t>meet</w:t>
      </w:r>
      <w:r>
        <w:rPr>
          <w:rFonts w:ascii="Verdana" w:hAnsi="Verdana" w:cs="Arial"/>
          <w:sz w:val="20"/>
          <w:szCs w:val="20"/>
        </w:rPr>
        <w:t>s</w:t>
      </w:r>
      <w:r w:rsidRPr="00A54961">
        <w:rPr>
          <w:rFonts w:ascii="Verdana" w:hAnsi="Verdana" w:cs="Arial"/>
          <w:sz w:val="20"/>
          <w:szCs w:val="20"/>
        </w:rPr>
        <w:t xml:space="preserve"> a number of requirements simultaneously. It provides a reference point for internal investment staff (</w:t>
      </w:r>
      <w:r>
        <w:rPr>
          <w:rFonts w:ascii="Verdana" w:hAnsi="Verdana" w:cs="Arial"/>
          <w:sz w:val="20"/>
          <w:szCs w:val="20"/>
        </w:rPr>
        <w:t>as</w:t>
      </w:r>
      <w:r w:rsidRPr="00A54961">
        <w:rPr>
          <w:rFonts w:ascii="Verdana" w:hAnsi="Verdana" w:cs="Arial"/>
          <w:sz w:val="20"/>
          <w:szCs w:val="20"/>
        </w:rPr>
        <w:t xml:space="preserve"> context for the processes they operate and the standards required of them) and is a guide to the approach and standards deliverable by external partne</w:t>
      </w:r>
      <w:r w:rsidRPr="00A54961">
        <w:rPr>
          <w:rFonts w:ascii="Verdana" w:hAnsi="Verdana" w:cs="Arial"/>
          <w:sz w:val="20"/>
          <w:szCs w:val="20"/>
        </w:rPr>
        <w:t>rs which supports the process of manager selection and ongoing monitoring.</w:t>
      </w:r>
    </w:p>
    <w:p w:rsidR="00A54961" w:rsidRPr="00A54961" w:rsidRDefault="0070520C" w:rsidP="00A54961">
      <w:pPr>
        <w:pStyle w:val="ListParagraph"/>
        <w:tabs>
          <w:tab w:val="right" w:pos="-3261"/>
        </w:tabs>
        <w:spacing w:after="0"/>
        <w:ind w:left="0"/>
        <w:jc w:val="both"/>
        <w:rPr>
          <w:rFonts w:ascii="Verdana" w:hAnsi="Verdana" w:cs="Arial"/>
          <w:sz w:val="20"/>
          <w:szCs w:val="20"/>
        </w:rPr>
      </w:pPr>
    </w:p>
    <w:p w:rsidR="00A54961" w:rsidRPr="00A54961" w:rsidRDefault="0070520C" w:rsidP="0020144B">
      <w:pPr>
        <w:pStyle w:val="ListParagraph"/>
        <w:shd w:val="clear" w:color="auto" w:fill="FFFFFF"/>
        <w:spacing w:after="0"/>
        <w:ind w:left="0"/>
        <w:rPr>
          <w:sz w:val="20"/>
          <w:szCs w:val="20"/>
        </w:rPr>
      </w:pPr>
      <w:r w:rsidRPr="00A54961">
        <w:rPr>
          <w:rFonts w:ascii="Verdana" w:hAnsi="Verdana" w:cs="Arial"/>
          <w:sz w:val="20"/>
          <w:szCs w:val="20"/>
        </w:rPr>
        <w:t>The Policy provide</w:t>
      </w:r>
      <w:r>
        <w:rPr>
          <w:rFonts w:ascii="Verdana" w:hAnsi="Verdana" w:cs="Arial"/>
          <w:sz w:val="20"/>
          <w:szCs w:val="20"/>
        </w:rPr>
        <w:t>s</w:t>
      </w:r>
      <w:r w:rsidRPr="00A54961">
        <w:rPr>
          <w:rFonts w:ascii="Verdana" w:hAnsi="Verdana" w:cs="Arial"/>
          <w:sz w:val="20"/>
          <w:szCs w:val="20"/>
        </w:rPr>
        <w:t xml:space="preserve"> the </w:t>
      </w:r>
      <w:r>
        <w:rPr>
          <w:rFonts w:ascii="Verdana" w:hAnsi="Verdana" w:cs="Arial"/>
          <w:sz w:val="20"/>
          <w:szCs w:val="20"/>
        </w:rPr>
        <w:t xml:space="preserve">LPP </w:t>
      </w:r>
      <w:r w:rsidRPr="00A54961">
        <w:rPr>
          <w:rFonts w:ascii="Verdana" w:hAnsi="Verdana" w:cs="Arial"/>
          <w:sz w:val="20"/>
          <w:szCs w:val="20"/>
        </w:rPr>
        <w:t xml:space="preserve">Stewardship Committee with a </w:t>
      </w:r>
      <w:r>
        <w:rPr>
          <w:rFonts w:ascii="Verdana" w:hAnsi="Verdana" w:cs="Arial"/>
          <w:sz w:val="20"/>
          <w:szCs w:val="20"/>
        </w:rPr>
        <w:t xml:space="preserve">framework for monitoring </w:t>
      </w:r>
      <w:r w:rsidRPr="00A54961">
        <w:rPr>
          <w:rFonts w:ascii="Verdana" w:hAnsi="Verdana" w:cs="Arial"/>
          <w:sz w:val="20"/>
          <w:szCs w:val="20"/>
        </w:rPr>
        <w:t>RI activities and outcomes</w:t>
      </w:r>
      <w:r>
        <w:rPr>
          <w:rFonts w:ascii="Verdana" w:hAnsi="Verdana" w:cs="Arial"/>
          <w:sz w:val="20"/>
          <w:szCs w:val="20"/>
        </w:rPr>
        <w:t xml:space="preserve"> on an</w:t>
      </w:r>
      <w:r w:rsidRPr="0020144B">
        <w:rPr>
          <w:rFonts w:ascii="Verdana" w:hAnsi="Verdana" w:cs="Arial"/>
          <w:sz w:val="20"/>
          <w:szCs w:val="20"/>
        </w:rPr>
        <w:t xml:space="preserve"> </w:t>
      </w:r>
      <w:r w:rsidRPr="00A54961">
        <w:rPr>
          <w:rFonts w:ascii="Verdana" w:hAnsi="Verdana" w:cs="Arial"/>
          <w:sz w:val="20"/>
          <w:szCs w:val="20"/>
        </w:rPr>
        <w:t>ongoing</w:t>
      </w:r>
      <w:r>
        <w:rPr>
          <w:rFonts w:ascii="Verdana" w:hAnsi="Verdana" w:cs="Arial"/>
          <w:sz w:val="20"/>
          <w:szCs w:val="20"/>
        </w:rPr>
        <w:t xml:space="preserve"> basis</w:t>
      </w:r>
      <w:r w:rsidRPr="00A54961">
        <w:rPr>
          <w:rFonts w:ascii="Verdana" w:hAnsi="Verdana"/>
          <w:sz w:val="20"/>
          <w:szCs w:val="20"/>
        </w:rPr>
        <w:t>.</w:t>
      </w:r>
      <w:r w:rsidRPr="00A54961">
        <w:rPr>
          <w:sz w:val="20"/>
          <w:szCs w:val="20"/>
        </w:rPr>
        <w:t xml:space="preserve"> </w:t>
      </w:r>
      <w:r w:rsidRPr="00A54961">
        <w:rPr>
          <w:rFonts w:ascii="Verdana" w:hAnsi="Verdana" w:cs="Arial"/>
          <w:sz w:val="20"/>
          <w:szCs w:val="20"/>
        </w:rPr>
        <w:t xml:space="preserve">By articulating beliefs, translating these into practice and expressing clear statements of intent, the policy </w:t>
      </w:r>
      <w:r>
        <w:rPr>
          <w:rFonts w:ascii="Verdana" w:hAnsi="Verdana" w:cs="Arial"/>
          <w:sz w:val="20"/>
          <w:szCs w:val="20"/>
        </w:rPr>
        <w:t>prompts the consideration of priorities, the targeting of resources</w:t>
      </w:r>
      <w:r w:rsidRPr="00A54961">
        <w:rPr>
          <w:rFonts w:ascii="Verdana" w:hAnsi="Verdana" w:cs="Arial"/>
          <w:sz w:val="20"/>
          <w:szCs w:val="20"/>
        </w:rPr>
        <w:t xml:space="preserve"> </w:t>
      </w:r>
      <w:r>
        <w:rPr>
          <w:rFonts w:ascii="Verdana" w:hAnsi="Verdana" w:cs="Arial"/>
          <w:sz w:val="20"/>
          <w:szCs w:val="20"/>
        </w:rPr>
        <w:t>and the</w:t>
      </w:r>
      <w:r w:rsidRPr="00A54961">
        <w:rPr>
          <w:rFonts w:ascii="Verdana" w:hAnsi="Verdana" w:cs="Arial"/>
          <w:sz w:val="20"/>
          <w:szCs w:val="20"/>
        </w:rPr>
        <w:t xml:space="preserve"> develop</w:t>
      </w:r>
      <w:r>
        <w:rPr>
          <w:rFonts w:ascii="Verdana" w:hAnsi="Verdana" w:cs="Arial"/>
          <w:sz w:val="20"/>
          <w:szCs w:val="20"/>
        </w:rPr>
        <w:t>ment of</w:t>
      </w:r>
      <w:r w:rsidRPr="00A54961">
        <w:rPr>
          <w:rFonts w:ascii="Verdana" w:hAnsi="Verdana" w:cs="Arial"/>
          <w:sz w:val="20"/>
          <w:szCs w:val="20"/>
        </w:rPr>
        <w:t xml:space="preserve"> plans and targets </w:t>
      </w:r>
      <w:r>
        <w:rPr>
          <w:rFonts w:ascii="Verdana" w:hAnsi="Verdana" w:cs="Arial"/>
          <w:sz w:val="20"/>
          <w:szCs w:val="20"/>
        </w:rPr>
        <w:t xml:space="preserve">as part of </w:t>
      </w:r>
      <w:r w:rsidRPr="00A54961">
        <w:rPr>
          <w:rFonts w:ascii="Verdana" w:hAnsi="Verdana" w:cs="Arial"/>
          <w:sz w:val="20"/>
          <w:szCs w:val="20"/>
        </w:rPr>
        <w:t xml:space="preserve">monitoring progress and </w:t>
      </w:r>
      <w:r>
        <w:rPr>
          <w:rFonts w:ascii="Verdana" w:hAnsi="Verdana" w:cs="Arial"/>
          <w:sz w:val="20"/>
          <w:szCs w:val="20"/>
        </w:rPr>
        <w:t>p</w:t>
      </w:r>
      <w:r>
        <w:rPr>
          <w:rFonts w:ascii="Verdana" w:hAnsi="Verdana" w:cs="Arial"/>
          <w:sz w:val="20"/>
          <w:szCs w:val="20"/>
        </w:rPr>
        <w:t>roviding</w:t>
      </w:r>
      <w:r>
        <w:rPr>
          <w:rFonts w:ascii="Verdana" w:hAnsi="Verdana" w:cs="Arial"/>
          <w:sz w:val="20"/>
          <w:szCs w:val="20"/>
        </w:rPr>
        <w:t xml:space="preserve"> </w:t>
      </w:r>
      <w:r w:rsidRPr="00A54961">
        <w:rPr>
          <w:rFonts w:ascii="Verdana" w:hAnsi="Verdana" w:cs="Arial"/>
          <w:sz w:val="20"/>
          <w:szCs w:val="20"/>
        </w:rPr>
        <w:t xml:space="preserve">reporting to the LPP I Board, to </w:t>
      </w:r>
      <w:r>
        <w:rPr>
          <w:rFonts w:ascii="Verdana" w:hAnsi="Verdana" w:cs="Arial"/>
          <w:sz w:val="20"/>
          <w:szCs w:val="20"/>
        </w:rPr>
        <w:t xml:space="preserve">pension fund </w:t>
      </w:r>
      <w:r w:rsidRPr="00A54961">
        <w:rPr>
          <w:rFonts w:ascii="Verdana" w:hAnsi="Verdana" w:cs="Arial"/>
          <w:sz w:val="20"/>
          <w:szCs w:val="20"/>
        </w:rPr>
        <w:t xml:space="preserve">clients, </w:t>
      </w:r>
      <w:r>
        <w:rPr>
          <w:rFonts w:ascii="Verdana" w:hAnsi="Verdana" w:cs="Arial"/>
          <w:sz w:val="20"/>
          <w:szCs w:val="20"/>
        </w:rPr>
        <w:t xml:space="preserve">and to regulators and </w:t>
      </w:r>
      <w:r>
        <w:rPr>
          <w:rFonts w:ascii="Verdana" w:hAnsi="Verdana" w:cs="Arial"/>
          <w:sz w:val="20"/>
          <w:szCs w:val="20"/>
        </w:rPr>
        <w:t>other</w:t>
      </w:r>
      <w:r w:rsidRPr="00A54961">
        <w:rPr>
          <w:rFonts w:ascii="Verdana" w:hAnsi="Verdana" w:cs="Arial"/>
          <w:sz w:val="20"/>
          <w:szCs w:val="20"/>
        </w:rPr>
        <w:t xml:space="preserve"> stakeholders as required.</w:t>
      </w:r>
      <w:r w:rsidRPr="00A54961">
        <w:rPr>
          <w:sz w:val="20"/>
          <w:szCs w:val="20"/>
        </w:rPr>
        <w:t xml:space="preserve">  </w:t>
      </w:r>
    </w:p>
    <w:p w:rsidR="00120B7D" w:rsidRDefault="0070520C" w:rsidP="00A54961">
      <w:pPr>
        <w:pStyle w:val="Default"/>
        <w:rPr>
          <w:rFonts w:ascii="Verdana" w:hAnsi="Verdana"/>
          <w:iCs/>
          <w:sz w:val="20"/>
          <w:szCs w:val="20"/>
        </w:rPr>
      </w:pPr>
    </w:p>
    <w:p w:rsidR="00E04E31" w:rsidRPr="00F23661" w:rsidRDefault="0070520C" w:rsidP="00197BA3">
      <w:pPr>
        <w:spacing w:after="0"/>
        <w:jc w:val="both"/>
        <w:rPr>
          <w:rFonts w:ascii="Verdana" w:hAnsi="Verdana" w:cs="Arial"/>
          <w:bCs/>
          <w:sz w:val="20"/>
          <w:szCs w:val="20"/>
        </w:rPr>
      </w:pPr>
    </w:p>
    <w:sectPr w:rsidR="00E04E31" w:rsidRPr="00F23661" w:rsidSect="00B23C16">
      <w:footerReference w:type="default" r:id="rId9"/>
      <w:headerReference w:type="first" r:id="rId10"/>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520C">
      <w:pPr>
        <w:spacing w:after="0" w:line="240" w:lineRule="auto"/>
      </w:pPr>
      <w:r>
        <w:separator/>
      </w:r>
    </w:p>
  </w:endnote>
  <w:endnote w:type="continuationSeparator" w:id="0">
    <w:p w:rsidR="00000000" w:rsidRDefault="0070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A2o00">
    <w:panose1 w:val="00000000000000000000"/>
    <w:charset w:val="00"/>
    <w:family w:val="auto"/>
    <w:notTrueType/>
    <w:pitch w:val="default"/>
    <w:sig w:usb0="00000003" w:usb1="00000000" w:usb2="00000000" w:usb3="00000000" w:csb0="00000001" w:csb1="00000000"/>
  </w:font>
  <w:font w:name="TT3B97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Seravek-Ligh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61" w:rsidRDefault="0070520C">
    <w:pPr>
      <w:pStyle w:val="Footer"/>
    </w:pPr>
  </w:p>
  <w:p w:rsidR="00A54961" w:rsidRDefault="0070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520C">
      <w:pPr>
        <w:spacing w:after="0" w:line="240" w:lineRule="auto"/>
      </w:pPr>
      <w:r>
        <w:separator/>
      </w:r>
    </w:p>
  </w:footnote>
  <w:footnote w:type="continuationSeparator" w:id="0">
    <w:p w:rsidR="00000000" w:rsidRDefault="0070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61" w:rsidRDefault="0070520C">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1" name="Picture 1"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anchor>
      </w:drawing>
    </w:r>
  </w:p>
  <w:p w:rsidR="00A54961" w:rsidRDefault="00705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0026F"/>
    <w:multiLevelType w:val="hybridMultilevel"/>
    <w:tmpl w:val="FBE2CC28"/>
    <w:lvl w:ilvl="0" w:tplc="4C06EB1E">
      <w:start w:val="1"/>
      <w:numFmt w:val="bullet"/>
      <w:lvlText w:val=""/>
      <w:lvlJc w:val="left"/>
      <w:pPr>
        <w:ind w:left="2160" w:hanging="360"/>
      </w:pPr>
      <w:rPr>
        <w:rFonts w:ascii="Symbol" w:hAnsi="Symbol" w:hint="default"/>
      </w:rPr>
    </w:lvl>
    <w:lvl w:ilvl="1" w:tplc="5E7298C2">
      <w:start w:val="1"/>
      <w:numFmt w:val="bullet"/>
      <w:lvlText w:val=""/>
      <w:lvlJc w:val="left"/>
      <w:pPr>
        <w:ind w:left="2880" w:hanging="360"/>
      </w:pPr>
      <w:rPr>
        <w:rFonts w:ascii="Symbol" w:hAnsi="Symbol" w:hint="default"/>
      </w:rPr>
    </w:lvl>
    <w:lvl w:ilvl="2" w:tplc="F16A2430" w:tentative="1">
      <w:start w:val="1"/>
      <w:numFmt w:val="bullet"/>
      <w:lvlText w:val=""/>
      <w:lvlJc w:val="left"/>
      <w:pPr>
        <w:ind w:left="3600" w:hanging="360"/>
      </w:pPr>
      <w:rPr>
        <w:rFonts w:ascii="Wingdings" w:hAnsi="Wingdings" w:hint="default"/>
      </w:rPr>
    </w:lvl>
    <w:lvl w:ilvl="3" w:tplc="CF28C050">
      <w:start w:val="1"/>
      <w:numFmt w:val="bullet"/>
      <w:lvlText w:val=""/>
      <w:lvlJc w:val="left"/>
      <w:pPr>
        <w:ind w:left="4320" w:hanging="360"/>
      </w:pPr>
      <w:rPr>
        <w:rFonts w:ascii="Symbol" w:hAnsi="Symbol" w:hint="default"/>
      </w:rPr>
    </w:lvl>
    <w:lvl w:ilvl="4" w:tplc="2FC6232E" w:tentative="1">
      <w:start w:val="1"/>
      <w:numFmt w:val="bullet"/>
      <w:lvlText w:val="o"/>
      <w:lvlJc w:val="left"/>
      <w:pPr>
        <w:ind w:left="5040" w:hanging="360"/>
      </w:pPr>
      <w:rPr>
        <w:rFonts w:ascii="Courier New" w:hAnsi="Courier New" w:cs="Courier New" w:hint="default"/>
      </w:rPr>
    </w:lvl>
    <w:lvl w:ilvl="5" w:tplc="FC3C12B0" w:tentative="1">
      <w:start w:val="1"/>
      <w:numFmt w:val="bullet"/>
      <w:lvlText w:val=""/>
      <w:lvlJc w:val="left"/>
      <w:pPr>
        <w:ind w:left="5760" w:hanging="360"/>
      </w:pPr>
      <w:rPr>
        <w:rFonts w:ascii="Wingdings" w:hAnsi="Wingdings" w:hint="default"/>
      </w:rPr>
    </w:lvl>
    <w:lvl w:ilvl="6" w:tplc="4DC0351E" w:tentative="1">
      <w:start w:val="1"/>
      <w:numFmt w:val="bullet"/>
      <w:lvlText w:val=""/>
      <w:lvlJc w:val="left"/>
      <w:pPr>
        <w:ind w:left="6480" w:hanging="360"/>
      </w:pPr>
      <w:rPr>
        <w:rFonts w:ascii="Symbol" w:hAnsi="Symbol" w:hint="default"/>
      </w:rPr>
    </w:lvl>
    <w:lvl w:ilvl="7" w:tplc="38A0E466" w:tentative="1">
      <w:start w:val="1"/>
      <w:numFmt w:val="bullet"/>
      <w:lvlText w:val="o"/>
      <w:lvlJc w:val="left"/>
      <w:pPr>
        <w:ind w:left="7200" w:hanging="360"/>
      </w:pPr>
      <w:rPr>
        <w:rFonts w:ascii="Courier New" w:hAnsi="Courier New" w:cs="Courier New" w:hint="default"/>
      </w:rPr>
    </w:lvl>
    <w:lvl w:ilvl="8" w:tplc="C652E8F8" w:tentative="1">
      <w:start w:val="1"/>
      <w:numFmt w:val="bullet"/>
      <w:lvlText w:val=""/>
      <w:lvlJc w:val="left"/>
      <w:pPr>
        <w:ind w:left="7920" w:hanging="360"/>
      </w:pPr>
      <w:rPr>
        <w:rFonts w:ascii="Wingdings" w:hAnsi="Wingdings" w:hint="default"/>
      </w:rPr>
    </w:lvl>
  </w:abstractNum>
  <w:abstractNum w:abstractNumId="1" w15:restartNumberingAfterBreak="0">
    <w:nsid w:val="1A444BBF"/>
    <w:multiLevelType w:val="hybridMultilevel"/>
    <w:tmpl w:val="6A84AB34"/>
    <w:lvl w:ilvl="0" w:tplc="F03A601C">
      <w:start w:val="1"/>
      <w:numFmt w:val="decimal"/>
      <w:pStyle w:val="treb"/>
      <w:lvlText w:val="%1."/>
      <w:lvlJc w:val="left"/>
      <w:pPr>
        <w:ind w:left="720" w:hanging="360"/>
      </w:pPr>
      <w:rPr>
        <w:rFonts w:hint="default"/>
      </w:rPr>
    </w:lvl>
    <w:lvl w:ilvl="1" w:tplc="9AA8A14C" w:tentative="1">
      <w:start w:val="1"/>
      <w:numFmt w:val="lowerLetter"/>
      <w:lvlText w:val="%2."/>
      <w:lvlJc w:val="left"/>
      <w:pPr>
        <w:ind w:left="1440" w:hanging="360"/>
      </w:pPr>
    </w:lvl>
    <w:lvl w:ilvl="2" w:tplc="78D05D98" w:tentative="1">
      <w:start w:val="1"/>
      <w:numFmt w:val="lowerRoman"/>
      <w:lvlText w:val="%3."/>
      <w:lvlJc w:val="right"/>
      <w:pPr>
        <w:ind w:left="2160" w:hanging="180"/>
      </w:pPr>
    </w:lvl>
    <w:lvl w:ilvl="3" w:tplc="030E860E" w:tentative="1">
      <w:start w:val="1"/>
      <w:numFmt w:val="decimal"/>
      <w:lvlText w:val="%4."/>
      <w:lvlJc w:val="left"/>
      <w:pPr>
        <w:ind w:left="2880" w:hanging="360"/>
      </w:pPr>
    </w:lvl>
    <w:lvl w:ilvl="4" w:tplc="70E69B06" w:tentative="1">
      <w:start w:val="1"/>
      <w:numFmt w:val="lowerLetter"/>
      <w:lvlText w:val="%5."/>
      <w:lvlJc w:val="left"/>
      <w:pPr>
        <w:ind w:left="3600" w:hanging="360"/>
      </w:pPr>
    </w:lvl>
    <w:lvl w:ilvl="5" w:tplc="A9745EBE" w:tentative="1">
      <w:start w:val="1"/>
      <w:numFmt w:val="lowerRoman"/>
      <w:lvlText w:val="%6."/>
      <w:lvlJc w:val="right"/>
      <w:pPr>
        <w:ind w:left="4320" w:hanging="180"/>
      </w:pPr>
    </w:lvl>
    <w:lvl w:ilvl="6" w:tplc="3AAE7A84" w:tentative="1">
      <w:start w:val="1"/>
      <w:numFmt w:val="decimal"/>
      <w:lvlText w:val="%7."/>
      <w:lvlJc w:val="left"/>
      <w:pPr>
        <w:ind w:left="5040" w:hanging="360"/>
      </w:pPr>
    </w:lvl>
    <w:lvl w:ilvl="7" w:tplc="8F2CFFCE" w:tentative="1">
      <w:start w:val="1"/>
      <w:numFmt w:val="lowerLetter"/>
      <w:lvlText w:val="%8."/>
      <w:lvlJc w:val="left"/>
      <w:pPr>
        <w:ind w:left="5760" w:hanging="360"/>
      </w:pPr>
    </w:lvl>
    <w:lvl w:ilvl="8" w:tplc="3F04C852" w:tentative="1">
      <w:start w:val="1"/>
      <w:numFmt w:val="lowerRoman"/>
      <w:lvlText w:val="%9."/>
      <w:lvlJc w:val="right"/>
      <w:pPr>
        <w:ind w:left="6480" w:hanging="180"/>
      </w:pPr>
    </w:lvl>
  </w:abstractNum>
  <w:abstractNum w:abstractNumId="2" w15:restartNumberingAfterBreak="0">
    <w:nsid w:val="1AB707C1"/>
    <w:multiLevelType w:val="hybridMultilevel"/>
    <w:tmpl w:val="1C9CDDDC"/>
    <w:lvl w:ilvl="0" w:tplc="0BDAFF62">
      <w:start w:val="1"/>
      <w:numFmt w:val="bullet"/>
      <w:lvlText w:val=""/>
      <w:lvlJc w:val="left"/>
      <w:pPr>
        <w:ind w:left="720" w:hanging="360"/>
      </w:pPr>
      <w:rPr>
        <w:rFonts w:ascii="Symbol" w:hAnsi="Symbol" w:hint="default"/>
      </w:rPr>
    </w:lvl>
    <w:lvl w:ilvl="1" w:tplc="FD9A92C4">
      <w:start w:val="1"/>
      <w:numFmt w:val="bullet"/>
      <w:lvlText w:val="o"/>
      <w:lvlJc w:val="left"/>
      <w:pPr>
        <w:ind w:left="1440" w:hanging="360"/>
      </w:pPr>
      <w:rPr>
        <w:rFonts w:ascii="Courier New" w:hAnsi="Courier New" w:cs="Courier New" w:hint="default"/>
      </w:rPr>
    </w:lvl>
    <w:lvl w:ilvl="2" w:tplc="ED56A296" w:tentative="1">
      <w:start w:val="1"/>
      <w:numFmt w:val="bullet"/>
      <w:lvlText w:val=""/>
      <w:lvlJc w:val="left"/>
      <w:pPr>
        <w:ind w:left="2160" w:hanging="360"/>
      </w:pPr>
      <w:rPr>
        <w:rFonts w:ascii="Wingdings" w:hAnsi="Wingdings" w:hint="default"/>
      </w:rPr>
    </w:lvl>
    <w:lvl w:ilvl="3" w:tplc="CB8A0ED8" w:tentative="1">
      <w:start w:val="1"/>
      <w:numFmt w:val="bullet"/>
      <w:lvlText w:val=""/>
      <w:lvlJc w:val="left"/>
      <w:pPr>
        <w:ind w:left="2880" w:hanging="360"/>
      </w:pPr>
      <w:rPr>
        <w:rFonts w:ascii="Symbol" w:hAnsi="Symbol" w:hint="default"/>
      </w:rPr>
    </w:lvl>
    <w:lvl w:ilvl="4" w:tplc="D0641142" w:tentative="1">
      <w:start w:val="1"/>
      <w:numFmt w:val="bullet"/>
      <w:lvlText w:val="o"/>
      <w:lvlJc w:val="left"/>
      <w:pPr>
        <w:ind w:left="3600" w:hanging="360"/>
      </w:pPr>
      <w:rPr>
        <w:rFonts w:ascii="Courier New" w:hAnsi="Courier New" w:cs="Courier New" w:hint="default"/>
      </w:rPr>
    </w:lvl>
    <w:lvl w:ilvl="5" w:tplc="70FABD02" w:tentative="1">
      <w:start w:val="1"/>
      <w:numFmt w:val="bullet"/>
      <w:lvlText w:val=""/>
      <w:lvlJc w:val="left"/>
      <w:pPr>
        <w:ind w:left="4320" w:hanging="360"/>
      </w:pPr>
      <w:rPr>
        <w:rFonts w:ascii="Wingdings" w:hAnsi="Wingdings" w:hint="default"/>
      </w:rPr>
    </w:lvl>
    <w:lvl w:ilvl="6" w:tplc="73D2A390" w:tentative="1">
      <w:start w:val="1"/>
      <w:numFmt w:val="bullet"/>
      <w:lvlText w:val=""/>
      <w:lvlJc w:val="left"/>
      <w:pPr>
        <w:ind w:left="5040" w:hanging="360"/>
      </w:pPr>
      <w:rPr>
        <w:rFonts w:ascii="Symbol" w:hAnsi="Symbol" w:hint="default"/>
      </w:rPr>
    </w:lvl>
    <w:lvl w:ilvl="7" w:tplc="6366CE78" w:tentative="1">
      <w:start w:val="1"/>
      <w:numFmt w:val="bullet"/>
      <w:lvlText w:val="o"/>
      <w:lvlJc w:val="left"/>
      <w:pPr>
        <w:ind w:left="5760" w:hanging="360"/>
      </w:pPr>
      <w:rPr>
        <w:rFonts w:ascii="Courier New" w:hAnsi="Courier New" w:cs="Courier New" w:hint="default"/>
      </w:rPr>
    </w:lvl>
    <w:lvl w:ilvl="8" w:tplc="8990E8CE" w:tentative="1">
      <w:start w:val="1"/>
      <w:numFmt w:val="bullet"/>
      <w:lvlText w:val=""/>
      <w:lvlJc w:val="left"/>
      <w:pPr>
        <w:ind w:left="6480" w:hanging="360"/>
      </w:pPr>
      <w:rPr>
        <w:rFonts w:ascii="Wingdings" w:hAnsi="Wingdings" w:hint="default"/>
      </w:rPr>
    </w:lvl>
  </w:abstractNum>
  <w:abstractNum w:abstractNumId="3" w15:restartNumberingAfterBreak="0">
    <w:nsid w:val="1E4D2CDD"/>
    <w:multiLevelType w:val="hybridMultilevel"/>
    <w:tmpl w:val="CA1AD732"/>
    <w:lvl w:ilvl="0" w:tplc="25A0D068">
      <w:start w:val="1"/>
      <w:numFmt w:val="bullet"/>
      <w:lvlText w:val=""/>
      <w:lvlJc w:val="left"/>
      <w:pPr>
        <w:ind w:left="720" w:hanging="360"/>
      </w:pPr>
      <w:rPr>
        <w:rFonts w:ascii="Symbol" w:hAnsi="Symbol" w:hint="default"/>
      </w:rPr>
    </w:lvl>
    <w:lvl w:ilvl="1" w:tplc="C5F61C96" w:tentative="1">
      <w:start w:val="1"/>
      <w:numFmt w:val="bullet"/>
      <w:lvlText w:val="o"/>
      <w:lvlJc w:val="left"/>
      <w:pPr>
        <w:ind w:left="1440" w:hanging="360"/>
      </w:pPr>
      <w:rPr>
        <w:rFonts w:ascii="Courier New" w:hAnsi="Courier New" w:cs="Courier New" w:hint="default"/>
      </w:rPr>
    </w:lvl>
    <w:lvl w:ilvl="2" w:tplc="30B2992E" w:tentative="1">
      <w:start w:val="1"/>
      <w:numFmt w:val="bullet"/>
      <w:lvlText w:val=""/>
      <w:lvlJc w:val="left"/>
      <w:pPr>
        <w:ind w:left="2160" w:hanging="360"/>
      </w:pPr>
      <w:rPr>
        <w:rFonts w:ascii="Wingdings" w:hAnsi="Wingdings" w:hint="default"/>
      </w:rPr>
    </w:lvl>
    <w:lvl w:ilvl="3" w:tplc="0B0C17B0" w:tentative="1">
      <w:start w:val="1"/>
      <w:numFmt w:val="bullet"/>
      <w:lvlText w:val=""/>
      <w:lvlJc w:val="left"/>
      <w:pPr>
        <w:ind w:left="2880" w:hanging="360"/>
      </w:pPr>
      <w:rPr>
        <w:rFonts w:ascii="Symbol" w:hAnsi="Symbol" w:hint="default"/>
      </w:rPr>
    </w:lvl>
    <w:lvl w:ilvl="4" w:tplc="FF923CE2" w:tentative="1">
      <w:start w:val="1"/>
      <w:numFmt w:val="bullet"/>
      <w:lvlText w:val="o"/>
      <w:lvlJc w:val="left"/>
      <w:pPr>
        <w:ind w:left="3600" w:hanging="360"/>
      </w:pPr>
      <w:rPr>
        <w:rFonts w:ascii="Courier New" w:hAnsi="Courier New" w:cs="Courier New" w:hint="default"/>
      </w:rPr>
    </w:lvl>
    <w:lvl w:ilvl="5" w:tplc="F8C89F46" w:tentative="1">
      <w:start w:val="1"/>
      <w:numFmt w:val="bullet"/>
      <w:lvlText w:val=""/>
      <w:lvlJc w:val="left"/>
      <w:pPr>
        <w:ind w:left="4320" w:hanging="360"/>
      </w:pPr>
      <w:rPr>
        <w:rFonts w:ascii="Wingdings" w:hAnsi="Wingdings" w:hint="default"/>
      </w:rPr>
    </w:lvl>
    <w:lvl w:ilvl="6" w:tplc="CE02B83A" w:tentative="1">
      <w:start w:val="1"/>
      <w:numFmt w:val="bullet"/>
      <w:lvlText w:val=""/>
      <w:lvlJc w:val="left"/>
      <w:pPr>
        <w:ind w:left="5040" w:hanging="360"/>
      </w:pPr>
      <w:rPr>
        <w:rFonts w:ascii="Symbol" w:hAnsi="Symbol" w:hint="default"/>
      </w:rPr>
    </w:lvl>
    <w:lvl w:ilvl="7" w:tplc="3208BB4C" w:tentative="1">
      <w:start w:val="1"/>
      <w:numFmt w:val="bullet"/>
      <w:lvlText w:val="o"/>
      <w:lvlJc w:val="left"/>
      <w:pPr>
        <w:ind w:left="5760" w:hanging="360"/>
      </w:pPr>
      <w:rPr>
        <w:rFonts w:ascii="Courier New" w:hAnsi="Courier New" w:cs="Courier New" w:hint="default"/>
      </w:rPr>
    </w:lvl>
    <w:lvl w:ilvl="8" w:tplc="CBB46352" w:tentative="1">
      <w:start w:val="1"/>
      <w:numFmt w:val="bullet"/>
      <w:lvlText w:val=""/>
      <w:lvlJc w:val="left"/>
      <w:pPr>
        <w:ind w:left="6480" w:hanging="360"/>
      </w:pPr>
      <w:rPr>
        <w:rFonts w:ascii="Wingdings" w:hAnsi="Wingdings" w:hint="default"/>
      </w:rPr>
    </w:lvl>
  </w:abstractNum>
  <w:abstractNum w:abstractNumId="4" w15:restartNumberingAfterBreak="0">
    <w:nsid w:val="25F43190"/>
    <w:multiLevelType w:val="hybridMultilevel"/>
    <w:tmpl w:val="3834B46C"/>
    <w:lvl w:ilvl="0" w:tplc="31945CBC">
      <w:start w:val="1"/>
      <w:numFmt w:val="bullet"/>
      <w:lvlText w:val=""/>
      <w:lvlJc w:val="left"/>
      <w:pPr>
        <w:ind w:left="720" w:hanging="360"/>
      </w:pPr>
      <w:rPr>
        <w:rFonts w:ascii="Symbol" w:hAnsi="Symbol" w:hint="default"/>
      </w:rPr>
    </w:lvl>
    <w:lvl w:ilvl="1" w:tplc="F3A25882" w:tentative="1">
      <w:start w:val="1"/>
      <w:numFmt w:val="bullet"/>
      <w:lvlText w:val="o"/>
      <w:lvlJc w:val="left"/>
      <w:pPr>
        <w:ind w:left="1440" w:hanging="360"/>
      </w:pPr>
      <w:rPr>
        <w:rFonts w:ascii="Courier New" w:hAnsi="Courier New" w:cs="Courier New" w:hint="default"/>
      </w:rPr>
    </w:lvl>
    <w:lvl w:ilvl="2" w:tplc="F0768EB0" w:tentative="1">
      <w:start w:val="1"/>
      <w:numFmt w:val="bullet"/>
      <w:lvlText w:val=""/>
      <w:lvlJc w:val="left"/>
      <w:pPr>
        <w:ind w:left="2160" w:hanging="360"/>
      </w:pPr>
      <w:rPr>
        <w:rFonts w:ascii="Wingdings" w:hAnsi="Wingdings" w:hint="default"/>
      </w:rPr>
    </w:lvl>
    <w:lvl w:ilvl="3" w:tplc="87204112" w:tentative="1">
      <w:start w:val="1"/>
      <w:numFmt w:val="bullet"/>
      <w:lvlText w:val=""/>
      <w:lvlJc w:val="left"/>
      <w:pPr>
        <w:ind w:left="2880" w:hanging="360"/>
      </w:pPr>
      <w:rPr>
        <w:rFonts w:ascii="Symbol" w:hAnsi="Symbol" w:hint="default"/>
      </w:rPr>
    </w:lvl>
    <w:lvl w:ilvl="4" w:tplc="D6A4E758" w:tentative="1">
      <w:start w:val="1"/>
      <w:numFmt w:val="bullet"/>
      <w:lvlText w:val="o"/>
      <w:lvlJc w:val="left"/>
      <w:pPr>
        <w:ind w:left="3600" w:hanging="360"/>
      </w:pPr>
      <w:rPr>
        <w:rFonts w:ascii="Courier New" w:hAnsi="Courier New" w:cs="Courier New" w:hint="default"/>
      </w:rPr>
    </w:lvl>
    <w:lvl w:ilvl="5" w:tplc="A4CA7296" w:tentative="1">
      <w:start w:val="1"/>
      <w:numFmt w:val="bullet"/>
      <w:lvlText w:val=""/>
      <w:lvlJc w:val="left"/>
      <w:pPr>
        <w:ind w:left="4320" w:hanging="360"/>
      </w:pPr>
      <w:rPr>
        <w:rFonts w:ascii="Wingdings" w:hAnsi="Wingdings" w:hint="default"/>
      </w:rPr>
    </w:lvl>
    <w:lvl w:ilvl="6" w:tplc="705AD0BA" w:tentative="1">
      <w:start w:val="1"/>
      <w:numFmt w:val="bullet"/>
      <w:lvlText w:val=""/>
      <w:lvlJc w:val="left"/>
      <w:pPr>
        <w:ind w:left="5040" w:hanging="360"/>
      </w:pPr>
      <w:rPr>
        <w:rFonts w:ascii="Symbol" w:hAnsi="Symbol" w:hint="default"/>
      </w:rPr>
    </w:lvl>
    <w:lvl w:ilvl="7" w:tplc="19D8BE3C" w:tentative="1">
      <w:start w:val="1"/>
      <w:numFmt w:val="bullet"/>
      <w:lvlText w:val="o"/>
      <w:lvlJc w:val="left"/>
      <w:pPr>
        <w:ind w:left="5760" w:hanging="360"/>
      </w:pPr>
      <w:rPr>
        <w:rFonts w:ascii="Courier New" w:hAnsi="Courier New" w:cs="Courier New" w:hint="default"/>
      </w:rPr>
    </w:lvl>
    <w:lvl w:ilvl="8" w:tplc="8482FF9A" w:tentative="1">
      <w:start w:val="1"/>
      <w:numFmt w:val="bullet"/>
      <w:lvlText w:val=""/>
      <w:lvlJc w:val="left"/>
      <w:pPr>
        <w:ind w:left="6480" w:hanging="360"/>
      </w:pPr>
      <w:rPr>
        <w:rFonts w:ascii="Wingdings" w:hAnsi="Wingdings" w:hint="default"/>
      </w:rPr>
    </w:lvl>
  </w:abstractNum>
  <w:abstractNum w:abstractNumId="5" w15:restartNumberingAfterBreak="0">
    <w:nsid w:val="30340154"/>
    <w:multiLevelType w:val="hybridMultilevel"/>
    <w:tmpl w:val="7D7C7980"/>
    <w:lvl w:ilvl="0" w:tplc="54188196">
      <w:start w:val="1"/>
      <w:numFmt w:val="bullet"/>
      <w:lvlText w:val=""/>
      <w:lvlJc w:val="left"/>
      <w:pPr>
        <w:ind w:left="720" w:hanging="360"/>
      </w:pPr>
      <w:rPr>
        <w:rFonts w:ascii="Symbol" w:hAnsi="Symbol" w:hint="default"/>
      </w:rPr>
    </w:lvl>
    <w:lvl w:ilvl="1" w:tplc="C3C60C5A" w:tentative="1">
      <w:start w:val="1"/>
      <w:numFmt w:val="bullet"/>
      <w:lvlText w:val="o"/>
      <w:lvlJc w:val="left"/>
      <w:pPr>
        <w:ind w:left="1440" w:hanging="360"/>
      </w:pPr>
      <w:rPr>
        <w:rFonts w:ascii="Courier New" w:hAnsi="Courier New" w:cs="Courier New" w:hint="default"/>
      </w:rPr>
    </w:lvl>
    <w:lvl w:ilvl="2" w:tplc="15641E2E" w:tentative="1">
      <w:start w:val="1"/>
      <w:numFmt w:val="bullet"/>
      <w:lvlText w:val=""/>
      <w:lvlJc w:val="left"/>
      <w:pPr>
        <w:ind w:left="2160" w:hanging="360"/>
      </w:pPr>
      <w:rPr>
        <w:rFonts w:ascii="Wingdings" w:hAnsi="Wingdings" w:hint="default"/>
      </w:rPr>
    </w:lvl>
    <w:lvl w:ilvl="3" w:tplc="529C8342" w:tentative="1">
      <w:start w:val="1"/>
      <w:numFmt w:val="bullet"/>
      <w:lvlText w:val=""/>
      <w:lvlJc w:val="left"/>
      <w:pPr>
        <w:ind w:left="2880" w:hanging="360"/>
      </w:pPr>
      <w:rPr>
        <w:rFonts w:ascii="Symbol" w:hAnsi="Symbol" w:hint="default"/>
      </w:rPr>
    </w:lvl>
    <w:lvl w:ilvl="4" w:tplc="14207318" w:tentative="1">
      <w:start w:val="1"/>
      <w:numFmt w:val="bullet"/>
      <w:lvlText w:val="o"/>
      <w:lvlJc w:val="left"/>
      <w:pPr>
        <w:ind w:left="3600" w:hanging="360"/>
      </w:pPr>
      <w:rPr>
        <w:rFonts w:ascii="Courier New" w:hAnsi="Courier New" w:cs="Courier New" w:hint="default"/>
      </w:rPr>
    </w:lvl>
    <w:lvl w:ilvl="5" w:tplc="D3166C96" w:tentative="1">
      <w:start w:val="1"/>
      <w:numFmt w:val="bullet"/>
      <w:lvlText w:val=""/>
      <w:lvlJc w:val="left"/>
      <w:pPr>
        <w:ind w:left="4320" w:hanging="360"/>
      </w:pPr>
      <w:rPr>
        <w:rFonts w:ascii="Wingdings" w:hAnsi="Wingdings" w:hint="default"/>
      </w:rPr>
    </w:lvl>
    <w:lvl w:ilvl="6" w:tplc="3692CE14" w:tentative="1">
      <w:start w:val="1"/>
      <w:numFmt w:val="bullet"/>
      <w:lvlText w:val=""/>
      <w:lvlJc w:val="left"/>
      <w:pPr>
        <w:ind w:left="5040" w:hanging="360"/>
      </w:pPr>
      <w:rPr>
        <w:rFonts w:ascii="Symbol" w:hAnsi="Symbol" w:hint="default"/>
      </w:rPr>
    </w:lvl>
    <w:lvl w:ilvl="7" w:tplc="7CB0D6B4" w:tentative="1">
      <w:start w:val="1"/>
      <w:numFmt w:val="bullet"/>
      <w:lvlText w:val="o"/>
      <w:lvlJc w:val="left"/>
      <w:pPr>
        <w:ind w:left="5760" w:hanging="360"/>
      </w:pPr>
      <w:rPr>
        <w:rFonts w:ascii="Courier New" w:hAnsi="Courier New" w:cs="Courier New" w:hint="default"/>
      </w:rPr>
    </w:lvl>
    <w:lvl w:ilvl="8" w:tplc="5FE08C16" w:tentative="1">
      <w:start w:val="1"/>
      <w:numFmt w:val="bullet"/>
      <w:lvlText w:val=""/>
      <w:lvlJc w:val="left"/>
      <w:pPr>
        <w:ind w:left="6480" w:hanging="360"/>
      </w:pPr>
      <w:rPr>
        <w:rFonts w:ascii="Wingdings" w:hAnsi="Wingdings" w:hint="default"/>
      </w:rPr>
    </w:lvl>
  </w:abstractNum>
  <w:abstractNum w:abstractNumId="6" w15:restartNumberingAfterBreak="0">
    <w:nsid w:val="5EA657B7"/>
    <w:multiLevelType w:val="hybridMultilevel"/>
    <w:tmpl w:val="7C146D62"/>
    <w:lvl w:ilvl="0" w:tplc="A7A63900">
      <w:start w:val="1"/>
      <w:numFmt w:val="lowerLetter"/>
      <w:lvlText w:val="%1)"/>
      <w:lvlJc w:val="left"/>
      <w:pPr>
        <w:ind w:left="720" w:hanging="360"/>
      </w:pPr>
    </w:lvl>
    <w:lvl w:ilvl="1" w:tplc="25C4405E" w:tentative="1">
      <w:start w:val="1"/>
      <w:numFmt w:val="lowerLetter"/>
      <w:lvlText w:val="%2."/>
      <w:lvlJc w:val="left"/>
      <w:pPr>
        <w:ind w:left="1440" w:hanging="360"/>
      </w:pPr>
    </w:lvl>
    <w:lvl w:ilvl="2" w:tplc="AD74BF64" w:tentative="1">
      <w:start w:val="1"/>
      <w:numFmt w:val="lowerRoman"/>
      <w:lvlText w:val="%3."/>
      <w:lvlJc w:val="right"/>
      <w:pPr>
        <w:ind w:left="2160" w:hanging="180"/>
      </w:pPr>
    </w:lvl>
    <w:lvl w:ilvl="3" w:tplc="CEF084C8" w:tentative="1">
      <w:start w:val="1"/>
      <w:numFmt w:val="decimal"/>
      <w:lvlText w:val="%4."/>
      <w:lvlJc w:val="left"/>
      <w:pPr>
        <w:ind w:left="2880" w:hanging="360"/>
      </w:pPr>
    </w:lvl>
    <w:lvl w:ilvl="4" w:tplc="5E14B40C" w:tentative="1">
      <w:start w:val="1"/>
      <w:numFmt w:val="lowerLetter"/>
      <w:lvlText w:val="%5."/>
      <w:lvlJc w:val="left"/>
      <w:pPr>
        <w:ind w:left="3600" w:hanging="360"/>
      </w:pPr>
    </w:lvl>
    <w:lvl w:ilvl="5" w:tplc="B3FA0804" w:tentative="1">
      <w:start w:val="1"/>
      <w:numFmt w:val="lowerRoman"/>
      <w:lvlText w:val="%6."/>
      <w:lvlJc w:val="right"/>
      <w:pPr>
        <w:ind w:left="4320" w:hanging="180"/>
      </w:pPr>
    </w:lvl>
    <w:lvl w:ilvl="6" w:tplc="05D8B15E" w:tentative="1">
      <w:start w:val="1"/>
      <w:numFmt w:val="decimal"/>
      <w:lvlText w:val="%7."/>
      <w:lvlJc w:val="left"/>
      <w:pPr>
        <w:ind w:left="5040" w:hanging="360"/>
      </w:pPr>
    </w:lvl>
    <w:lvl w:ilvl="7" w:tplc="EC60D280" w:tentative="1">
      <w:start w:val="1"/>
      <w:numFmt w:val="lowerLetter"/>
      <w:lvlText w:val="%8."/>
      <w:lvlJc w:val="left"/>
      <w:pPr>
        <w:ind w:left="5760" w:hanging="360"/>
      </w:pPr>
    </w:lvl>
    <w:lvl w:ilvl="8" w:tplc="1B108FD4" w:tentative="1">
      <w:start w:val="1"/>
      <w:numFmt w:val="lowerRoman"/>
      <w:lvlText w:val="%9."/>
      <w:lvlJc w:val="right"/>
      <w:pPr>
        <w:ind w:left="6480" w:hanging="180"/>
      </w:pPr>
    </w:lvl>
  </w:abstractNum>
  <w:abstractNum w:abstractNumId="7" w15:restartNumberingAfterBreak="0">
    <w:nsid w:val="650E2067"/>
    <w:multiLevelType w:val="hybridMultilevel"/>
    <w:tmpl w:val="7D94380C"/>
    <w:lvl w:ilvl="0" w:tplc="676AA5B2">
      <w:start w:val="1"/>
      <w:numFmt w:val="bullet"/>
      <w:lvlText w:val=""/>
      <w:lvlJc w:val="left"/>
      <w:pPr>
        <w:ind w:left="720" w:hanging="360"/>
      </w:pPr>
      <w:rPr>
        <w:rFonts w:ascii="Symbol" w:hAnsi="Symbol" w:hint="default"/>
      </w:rPr>
    </w:lvl>
    <w:lvl w:ilvl="1" w:tplc="44026C2A" w:tentative="1">
      <w:start w:val="1"/>
      <w:numFmt w:val="bullet"/>
      <w:lvlText w:val="o"/>
      <w:lvlJc w:val="left"/>
      <w:pPr>
        <w:ind w:left="1440" w:hanging="360"/>
      </w:pPr>
      <w:rPr>
        <w:rFonts w:ascii="Courier New" w:hAnsi="Courier New" w:cs="Courier New" w:hint="default"/>
      </w:rPr>
    </w:lvl>
    <w:lvl w:ilvl="2" w:tplc="20304C2A" w:tentative="1">
      <w:start w:val="1"/>
      <w:numFmt w:val="bullet"/>
      <w:lvlText w:val=""/>
      <w:lvlJc w:val="left"/>
      <w:pPr>
        <w:ind w:left="2160" w:hanging="360"/>
      </w:pPr>
      <w:rPr>
        <w:rFonts w:ascii="Wingdings" w:hAnsi="Wingdings" w:hint="default"/>
      </w:rPr>
    </w:lvl>
    <w:lvl w:ilvl="3" w:tplc="7B96AA68" w:tentative="1">
      <w:start w:val="1"/>
      <w:numFmt w:val="bullet"/>
      <w:lvlText w:val=""/>
      <w:lvlJc w:val="left"/>
      <w:pPr>
        <w:ind w:left="2880" w:hanging="360"/>
      </w:pPr>
      <w:rPr>
        <w:rFonts w:ascii="Symbol" w:hAnsi="Symbol" w:hint="default"/>
      </w:rPr>
    </w:lvl>
    <w:lvl w:ilvl="4" w:tplc="FD24EC08" w:tentative="1">
      <w:start w:val="1"/>
      <w:numFmt w:val="bullet"/>
      <w:lvlText w:val="o"/>
      <w:lvlJc w:val="left"/>
      <w:pPr>
        <w:ind w:left="3600" w:hanging="360"/>
      </w:pPr>
      <w:rPr>
        <w:rFonts w:ascii="Courier New" w:hAnsi="Courier New" w:cs="Courier New" w:hint="default"/>
      </w:rPr>
    </w:lvl>
    <w:lvl w:ilvl="5" w:tplc="B5061DF4" w:tentative="1">
      <w:start w:val="1"/>
      <w:numFmt w:val="bullet"/>
      <w:lvlText w:val=""/>
      <w:lvlJc w:val="left"/>
      <w:pPr>
        <w:ind w:left="4320" w:hanging="360"/>
      </w:pPr>
      <w:rPr>
        <w:rFonts w:ascii="Wingdings" w:hAnsi="Wingdings" w:hint="default"/>
      </w:rPr>
    </w:lvl>
    <w:lvl w:ilvl="6" w:tplc="5C105830" w:tentative="1">
      <w:start w:val="1"/>
      <w:numFmt w:val="bullet"/>
      <w:lvlText w:val=""/>
      <w:lvlJc w:val="left"/>
      <w:pPr>
        <w:ind w:left="5040" w:hanging="360"/>
      </w:pPr>
      <w:rPr>
        <w:rFonts w:ascii="Symbol" w:hAnsi="Symbol" w:hint="default"/>
      </w:rPr>
    </w:lvl>
    <w:lvl w:ilvl="7" w:tplc="AF1EB8D4" w:tentative="1">
      <w:start w:val="1"/>
      <w:numFmt w:val="bullet"/>
      <w:lvlText w:val="o"/>
      <w:lvlJc w:val="left"/>
      <w:pPr>
        <w:ind w:left="5760" w:hanging="360"/>
      </w:pPr>
      <w:rPr>
        <w:rFonts w:ascii="Courier New" w:hAnsi="Courier New" w:cs="Courier New" w:hint="default"/>
      </w:rPr>
    </w:lvl>
    <w:lvl w:ilvl="8" w:tplc="1CE0FD62" w:tentative="1">
      <w:start w:val="1"/>
      <w:numFmt w:val="bullet"/>
      <w:lvlText w:val=""/>
      <w:lvlJc w:val="left"/>
      <w:pPr>
        <w:ind w:left="6480" w:hanging="360"/>
      </w:pPr>
      <w:rPr>
        <w:rFonts w:ascii="Wingdings" w:hAnsi="Wingdings" w:hint="default"/>
      </w:rPr>
    </w:lvl>
  </w:abstractNum>
  <w:abstractNum w:abstractNumId="8" w15:restartNumberingAfterBreak="0">
    <w:nsid w:val="75DD0325"/>
    <w:multiLevelType w:val="hybridMultilevel"/>
    <w:tmpl w:val="0ED66E7A"/>
    <w:lvl w:ilvl="0" w:tplc="FA9CDB4A">
      <w:start w:val="1"/>
      <w:numFmt w:val="decimal"/>
      <w:lvlText w:val="%1."/>
      <w:lvlJc w:val="left"/>
      <w:pPr>
        <w:ind w:left="720" w:hanging="360"/>
      </w:pPr>
    </w:lvl>
    <w:lvl w:ilvl="1" w:tplc="294C90B4" w:tentative="1">
      <w:start w:val="1"/>
      <w:numFmt w:val="lowerLetter"/>
      <w:lvlText w:val="%2."/>
      <w:lvlJc w:val="left"/>
      <w:pPr>
        <w:ind w:left="1440" w:hanging="360"/>
      </w:pPr>
    </w:lvl>
    <w:lvl w:ilvl="2" w:tplc="E00CD380" w:tentative="1">
      <w:start w:val="1"/>
      <w:numFmt w:val="lowerRoman"/>
      <w:lvlText w:val="%3."/>
      <w:lvlJc w:val="right"/>
      <w:pPr>
        <w:ind w:left="2160" w:hanging="180"/>
      </w:pPr>
    </w:lvl>
    <w:lvl w:ilvl="3" w:tplc="616E3C40" w:tentative="1">
      <w:start w:val="1"/>
      <w:numFmt w:val="decimal"/>
      <w:lvlText w:val="%4."/>
      <w:lvlJc w:val="left"/>
      <w:pPr>
        <w:ind w:left="2880" w:hanging="360"/>
      </w:pPr>
    </w:lvl>
    <w:lvl w:ilvl="4" w:tplc="B394BC7E" w:tentative="1">
      <w:start w:val="1"/>
      <w:numFmt w:val="lowerLetter"/>
      <w:lvlText w:val="%5."/>
      <w:lvlJc w:val="left"/>
      <w:pPr>
        <w:ind w:left="3600" w:hanging="360"/>
      </w:pPr>
    </w:lvl>
    <w:lvl w:ilvl="5" w:tplc="DF682F88" w:tentative="1">
      <w:start w:val="1"/>
      <w:numFmt w:val="lowerRoman"/>
      <w:lvlText w:val="%6."/>
      <w:lvlJc w:val="right"/>
      <w:pPr>
        <w:ind w:left="4320" w:hanging="180"/>
      </w:pPr>
    </w:lvl>
    <w:lvl w:ilvl="6" w:tplc="E4180E8E" w:tentative="1">
      <w:start w:val="1"/>
      <w:numFmt w:val="decimal"/>
      <w:lvlText w:val="%7."/>
      <w:lvlJc w:val="left"/>
      <w:pPr>
        <w:ind w:left="5040" w:hanging="360"/>
      </w:pPr>
    </w:lvl>
    <w:lvl w:ilvl="7" w:tplc="B0AA1B76" w:tentative="1">
      <w:start w:val="1"/>
      <w:numFmt w:val="lowerLetter"/>
      <w:lvlText w:val="%8."/>
      <w:lvlJc w:val="left"/>
      <w:pPr>
        <w:ind w:left="5760" w:hanging="360"/>
      </w:pPr>
    </w:lvl>
    <w:lvl w:ilvl="8" w:tplc="BCD8325E"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88"/>
    <w:rsid w:val="0070520C"/>
    <w:rsid w:val="0081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6DD0C-A72A-4993-B4F5-ECE80029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uiPriority w:val="59"/>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national_corpo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61BC-CF0F-4D95-9E66-15F0703A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2</cp:revision>
  <cp:lastPrinted>2016-04-13T08:43:00Z</cp:lastPrinted>
  <dcterms:created xsi:type="dcterms:W3CDTF">2016-11-24T10:05:00Z</dcterms:created>
  <dcterms:modified xsi:type="dcterms:W3CDTF">2016-11-24T10:05:00Z</dcterms:modified>
</cp:coreProperties>
</file>